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EE7181">
      <w:pPr>
        <w:spacing w:before="43" w:line="250" w:lineRule="auto"/>
        <w:ind w:left="5" w:right="8264" w:firstLine="1"/>
        <w:rPr>
          <w:rFonts w:ascii="黑体" w:hAnsi="黑体" w:eastAsia="黑体" w:cs="黑体"/>
          <w:sz w:val="20"/>
          <w:szCs w:val="20"/>
        </w:rPr>
      </w:pPr>
      <w:r>
        <w:rPr>
          <w:rFonts w:ascii="Times New Roman" w:hAnsi="Times New Roman" w:eastAsia="Times New Roman" w:cs="Times New Roman"/>
          <w:sz w:val="20"/>
          <w:szCs w:val="20"/>
        </w:rPr>
        <w:t>ICS</w:t>
      </w:r>
      <w:r>
        <w:rPr>
          <w:rFonts w:ascii="Times New Roman" w:hAnsi="Times New Roman" w:eastAsia="Times New Roman" w:cs="Times New Roman"/>
          <w:spacing w:val="12"/>
          <w:sz w:val="20"/>
          <w:szCs w:val="20"/>
        </w:rPr>
        <w:t xml:space="preserve">  </w:t>
      </w:r>
      <w:r>
        <w:rPr>
          <w:rFonts w:ascii="黑体" w:hAnsi="黑体" w:eastAsia="黑体" w:cs="黑体"/>
          <w:spacing w:val="12"/>
          <w:sz w:val="20"/>
          <w:szCs w:val="20"/>
        </w:rPr>
        <w:t>67.080.10</w:t>
      </w:r>
      <w:r>
        <w:rPr>
          <w:rFonts w:ascii="黑体" w:hAnsi="黑体" w:eastAsia="黑体" w:cs="黑体"/>
          <w:spacing w:val="1"/>
          <w:sz w:val="20"/>
          <w:szCs w:val="20"/>
        </w:rPr>
        <w:t xml:space="preserve"> X</w:t>
      </w:r>
      <w:r>
        <w:rPr>
          <w:rFonts w:ascii="黑体" w:hAnsi="黑体" w:eastAsia="黑体" w:cs="黑体"/>
          <w:spacing w:val="11"/>
          <w:sz w:val="20"/>
          <w:szCs w:val="20"/>
        </w:rPr>
        <w:t xml:space="preserve"> </w:t>
      </w:r>
      <w:r>
        <w:rPr>
          <w:rFonts w:ascii="黑体" w:hAnsi="黑体" w:eastAsia="黑体" w:cs="黑体"/>
          <w:spacing w:val="1"/>
          <w:sz w:val="20"/>
          <w:szCs w:val="20"/>
        </w:rPr>
        <w:t>24</w:t>
      </w:r>
    </w:p>
    <w:p w14:paraId="075166A5">
      <w:pPr>
        <w:spacing w:before="1" w:line="190" w:lineRule="auto"/>
        <w:ind w:left="3627"/>
        <w:rPr>
          <w:rFonts w:ascii="Times New Roman" w:hAnsi="Times New Roman" w:eastAsia="Times New Roman" w:cs="Times New Roman"/>
          <w:sz w:val="79"/>
          <w:szCs w:val="79"/>
        </w:rPr>
      </w:pPr>
    </w:p>
    <w:p w14:paraId="70EC1DCB">
      <w:pPr>
        <w:pStyle w:val="2"/>
        <w:spacing w:line="309" w:lineRule="auto"/>
      </w:pPr>
    </w:p>
    <w:p w14:paraId="0752D022">
      <w:pPr>
        <w:spacing w:before="169" w:line="224" w:lineRule="auto"/>
        <w:jc w:val="right"/>
        <w:rPr>
          <w:rFonts w:ascii="黑体" w:hAnsi="黑体" w:eastAsia="黑体" w:cs="黑体"/>
          <w:sz w:val="52"/>
          <w:szCs w:val="52"/>
        </w:rPr>
      </w:pPr>
      <w:r>
        <w:rPr>
          <w:rFonts w:ascii="黑体" w:hAnsi="黑体" w:eastAsia="黑体" w:cs="黑体"/>
          <w:spacing w:val="-25"/>
          <w:sz w:val="52"/>
          <w:szCs w:val="52"/>
        </w:rPr>
        <w:t>团</w:t>
      </w:r>
      <w:r>
        <w:rPr>
          <w:rFonts w:ascii="黑体" w:hAnsi="黑体" w:eastAsia="黑体" w:cs="黑体"/>
          <w:spacing w:val="24"/>
          <w:sz w:val="52"/>
          <w:szCs w:val="52"/>
        </w:rPr>
        <w:t xml:space="preserve">         </w:t>
      </w:r>
      <w:r>
        <w:rPr>
          <w:rFonts w:ascii="黑体" w:hAnsi="黑体" w:eastAsia="黑体" w:cs="黑体"/>
          <w:spacing w:val="-25"/>
          <w:sz w:val="52"/>
          <w:szCs w:val="52"/>
        </w:rPr>
        <w:t>体</w:t>
      </w:r>
      <w:r>
        <w:rPr>
          <w:rFonts w:ascii="黑体" w:hAnsi="黑体" w:eastAsia="黑体" w:cs="黑体"/>
          <w:spacing w:val="24"/>
          <w:sz w:val="52"/>
          <w:szCs w:val="52"/>
        </w:rPr>
        <w:t xml:space="preserve">         </w:t>
      </w:r>
      <w:r>
        <w:rPr>
          <w:rFonts w:ascii="黑体" w:hAnsi="黑体" w:eastAsia="黑体" w:cs="黑体"/>
          <w:spacing w:val="-25"/>
          <w:sz w:val="52"/>
          <w:szCs w:val="52"/>
        </w:rPr>
        <w:t>标</w:t>
      </w:r>
      <w:r>
        <w:rPr>
          <w:rFonts w:ascii="黑体" w:hAnsi="黑体" w:eastAsia="黑体" w:cs="黑体"/>
          <w:spacing w:val="25"/>
          <w:sz w:val="52"/>
          <w:szCs w:val="52"/>
        </w:rPr>
        <w:t xml:space="preserve">         </w:t>
      </w:r>
      <w:r>
        <w:rPr>
          <w:rFonts w:ascii="黑体" w:hAnsi="黑体" w:eastAsia="黑体" w:cs="黑体"/>
          <w:spacing w:val="-25"/>
          <w:sz w:val="52"/>
          <w:szCs w:val="52"/>
        </w:rPr>
        <w:t>准</w:t>
      </w:r>
    </w:p>
    <w:p w14:paraId="3AF1CCDD">
      <w:pPr>
        <w:spacing w:before="256" w:line="225" w:lineRule="auto"/>
        <w:ind w:left="6854"/>
        <w:rPr>
          <w:rFonts w:hint="eastAsia" w:ascii="宋体" w:hAnsi="宋体" w:eastAsia="宋体" w:cs="宋体"/>
          <w:spacing w:val="-1"/>
          <w:sz w:val="28"/>
          <w:szCs w:val="28"/>
          <w:lang w:val="en-US" w:eastAsia="zh-CN"/>
        </w:rPr>
      </w:pPr>
      <w:r>
        <w:rPr>
          <w:rFonts w:ascii="宋体" w:hAnsi="宋体" w:eastAsia="宋体" w:cs="宋体"/>
          <w:spacing w:val="-1"/>
          <w:sz w:val="28"/>
          <w:szCs w:val="28"/>
        </w:rPr>
        <w:t>T/H</w:t>
      </w:r>
      <w:r>
        <w:rPr>
          <w:rFonts w:hint="eastAsia" w:ascii="宋体" w:hAnsi="宋体" w:eastAsia="宋体" w:cs="宋体"/>
          <w:spacing w:val="-1"/>
          <w:sz w:val="28"/>
          <w:szCs w:val="28"/>
          <w:lang w:val="en-US" w:eastAsia="zh-CN"/>
        </w:rPr>
        <w:t>BFIA</w:t>
      </w:r>
      <w:r>
        <w:rPr>
          <w:rFonts w:ascii="宋体" w:hAnsi="宋体" w:eastAsia="宋体" w:cs="宋体"/>
          <w:spacing w:val="-1"/>
          <w:sz w:val="28"/>
          <w:szCs w:val="28"/>
        </w:rPr>
        <w:t xml:space="preserve"> </w:t>
      </w:r>
      <w:r>
        <w:rPr>
          <w:rFonts w:hint="eastAsia" w:ascii="宋体" w:hAnsi="宋体" w:eastAsia="宋体" w:cs="宋体"/>
          <w:spacing w:val="-1"/>
          <w:sz w:val="28"/>
          <w:szCs w:val="28"/>
          <w:lang w:val="en-US" w:eastAsia="zh-CN"/>
        </w:rPr>
        <w:t>0004</w:t>
      </w:r>
      <w:r>
        <w:rPr>
          <w:rFonts w:ascii="宋体" w:hAnsi="宋体" w:eastAsia="宋体" w:cs="宋体"/>
          <w:spacing w:val="-1"/>
          <w:sz w:val="28"/>
          <w:szCs w:val="28"/>
        </w:rPr>
        <w:t>—</w:t>
      </w:r>
      <w:r>
        <w:rPr>
          <w:rFonts w:hint="eastAsia" w:ascii="宋体" w:hAnsi="宋体" w:eastAsia="宋体" w:cs="宋体"/>
          <w:spacing w:val="-1"/>
          <w:sz w:val="28"/>
          <w:szCs w:val="28"/>
          <w:lang w:val="en-US" w:eastAsia="zh-CN"/>
        </w:rPr>
        <w:t>2026</w:t>
      </w:r>
    </w:p>
    <w:p w14:paraId="13A5AD15">
      <w:pPr>
        <w:spacing w:before="256" w:line="225" w:lineRule="auto"/>
        <w:ind w:left="6854"/>
        <w:rPr>
          <w:rFonts w:hint="eastAsia" w:ascii="宋体" w:hAnsi="宋体" w:eastAsia="宋体" w:cs="宋体"/>
          <w:spacing w:val="-1"/>
          <w:sz w:val="28"/>
          <w:szCs w:val="28"/>
          <w:lang w:val="en-US" w:eastAsia="zh-CN"/>
        </w:rPr>
      </w:pPr>
    </w:p>
    <w:p w14:paraId="6DB30EE1">
      <w:pPr>
        <w:pStyle w:val="2"/>
        <w:spacing w:line="263" w:lineRule="auto"/>
      </w:pPr>
      <w:r>
        <w:drawing>
          <wp:anchor distT="0" distB="0" distL="0" distR="0" simplePos="0" relativeHeight="251659264" behindDoc="0" locked="0" layoutInCell="1" allowOverlap="1">
            <wp:simplePos x="0" y="0"/>
            <wp:positionH relativeFrom="column">
              <wp:posOffset>0</wp:posOffset>
            </wp:positionH>
            <wp:positionV relativeFrom="paragraph">
              <wp:posOffset>78740</wp:posOffset>
            </wp:positionV>
            <wp:extent cx="6120130" cy="9525"/>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9"/>
                    <a:stretch>
                      <a:fillRect/>
                    </a:stretch>
                  </pic:blipFill>
                  <pic:spPr>
                    <a:xfrm>
                      <a:off x="0" y="0"/>
                      <a:ext cx="6120130" cy="9525"/>
                    </a:xfrm>
                    <a:prstGeom prst="rect">
                      <a:avLst/>
                    </a:prstGeom>
                  </pic:spPr>
                </pic:pic>
              </a:graphicData>
            </a:graphic>
          </wp:anchor>
        </w:drawing>
      </w:r>
    </w:p>
    <w:p w14:paraId="16962C66">
      <w:pPr>
        <w:pStyle w:val="2"/>
        <w:spacing w:line="263" w:lineRule="auto"/>
      </w:pPr>
    </w:p>
    <w:p w14:paraId="11978658">
      <w:pPr>
        <w:pStyle w:val="2"/>
        <w:spacing w:line="263" w:lineRule="auto"/>
      </w:pPr>
    </w:p>
    <w:p w14:paraId="210D8435">
      <w:pPr>
        <w:pStyle w:val="2"/>
        <w:spacing w:line="264" w:lineRule="auto"/>
      </w:pPr>
    </w:p>
    <w:p w14:paraId="50342D68">
      <w:pPr>
        <w:pStyle w:val="2"/>
        <w:spacing w:line="264" w:lineRule="auto"/>
      </w:pPr>
    </w:p>
    <w:p w14:paraId="38FD699F">
      <w:pPr>
        <w:pStyle w:val="2"/>
        <w:spacing w:line="264" w:lineRule="auto"/>
      </w:pPr>
    </w:p>
    <w:p w14:paraId="2DF6B809">
      <w:pPr>
        <w:pStyle w:val="2"/>
        <w:spacing w:line="264" w:lineRule="auto"/>
      </w:pPr>
    </w:p>
    <w:p w14:paraId="63C19DEC">
      <w:pPr>
        <w:spacing w:before="169" w:line="225" w:lineRule="auto"/>
        <w:ind w:left="3520"/>
        <w:rPr>
          <w:rFonts w:hint="default" w:ascii="宋体" w:hAnsi="宋体" w:eastAsia="宋体" w:cs="宋体"/>
          <w:spacing w:val="-4"/>
          <w:sz w:val="32"/>
          <w:szCs w:val="32"/>
          <w:lang w:val="en-US" w:eastAsia="zh-CN"/>
        </w:rPr>
      </w:pPr>
      <w:bookmarkStart w:id="0" w:name="_GoBack"/>
      <w:bookmarkEnd w:id="0"/>
      <w:r>
        <w:rPr>
          <w:rFonts w:hint="eastAsia" w:ascii="黑体" w:hAnsi="黑体" w:eastAsia="黑体" w:cs="黑体"/>
          <w:spacing w:val="-4"/>
          <w:sz w:val="52"/>
          <w:szCs w:val="52"/>
          <w:lang w:val="en-US" w:eastAsia="zh-CN"/>
        </w:rPr>
        <w:t>红</w:t>
      </w:r>
      <w:r>
        <w:rPr>
          <w:rFonts w:ascii="黑体" w:hAnsi="黑体" w:eastAsia="黑体" w:cs="黑体"/>
          <w:spacing w:val="-4"/>
          <w:sz w:val="52"/>
          <w:szCs w:val="52"/>
        </w:rPr>
        <w:t>枣制品</w:t>
      </w:r>
      <w:r>
        <w:rPr>
          <w:rFonts w:hint="eastAsia" w:ascii="宋体" w:hAnsi="宋体" w:eastAsia="宋体" w:cs="宋体"/>
          <w:spacing w:val="-4"/>
          <w:sz w:val="32"/>
          <w:szCs w:val="32"/>
          <w:lang w:val="en-US" w:eastAsia="zh-CN"/>
        </w:rPr>
        <w:t>（</w:t>
      </w:r>
      <w:r>
        <w:rPr>
          <w:rFonts w:hint="eastAsia" w:ascii="宋体" w:hAnsi="宋体" w:eastAsia="宋体" w:cs="宋体"/>
          <w:spacing w:val="-4"/>
          <w:sz w:val="32"/>
          <w:szCs w:val="32"/>
          <w:lang w:val="en-US" w:eastAsia="zh-CN"/>
        </w:rPr>
        <w:t>征求意见稿）</w:t>
      </w:r>
    </w:p>
    <w:p w14:paraId="04FA96DC">
      <w:pPr>
        <w:pStyle w:val="2"/>
        <w:spacing w:line="382" w:lineRule="auto"/>
      </w:pPr>
    </w:p>
    <w:p w14:paraId="4004DF22">
      <w:pPr>
        <w:keepNext w:val="0"/>
        <w:keepLines w:val="0"/>
        <w:widowControl/>
        <w:suppressLineNumbers w:val="0"/>
        <w:jc w:val="center"/>
      </w:pPr>
      <w:r>
        <w:rPr>
          <w:rFonts w:hint="default" w:ascii="Times New Roman" w:hAnsi="Times New Roman" w:eastAsia="宋体" w:cs="Times New Roman"/>
          <w:snapToGrid w:val="0"/>
          <w:color w:val="000000"/>
          <w:kern w:val="0"/>
          <w:sz w:val="36"/>
          <w:szCs w:val="36"/>
          <w:lang w:val="en-US" w:eastAsia="zh-CN" w:bidi="ar"/>
        </w:rPr>
        <w:t>Products of Chinese jujube</w:t>
      </w:r>
    </w:p>
    <w:p w14:paraId="67A3FE94">
      <w:pPr>
        <w:spacing w:before="169" w:line="225" w:lineRule="auto"/>
        <w:ind w:left="3520"/>
        <w:rPr>
          <w:rFonts w:hint="default" w:ascii="Arial" w:hAnsi="Arial" w:eastAsia="黑体" w:cs="Arial"/>
          <w:spacing w:val="-4"/>
          <w:sz w:val="32"/>
          <w:szCs w:val="32"/>
        </w:rPr>
      </w:pPr>
    </w:p>
    <w:p w14:paraId="6A57E1BE">
      <w:pPr>
        <w:pStyle w:val="2"/>
        <w:spacing w:line="258" w:lineRule="auto"/>
      </w:pPr>
    </w:p>
    <w:p w14:paraId="724C1ED3">
      <w:pPr>
        <w:pStyle w:val="2"/>
        <w:spacing w:line="258" w:lineRule="auto"/>
      </w:pPr>
    </w:p>
    <w:p w14:paraId="3931CC7A">
      <w:pPr>
        <w:pStyle w:val="2"/>
        <w:spacing w:line="258" w:lineRule="auto"/>
      </w:pPr>
    </w:p>
    <w:p w14:paraId="045FC86A">
      <w:pPr>
        <w:pStyle w:val="2"/>
        <w:spacing w:line="258" w:lineRule="auto"/>
      </w:pPr>
    </w:p>
    <w:p w14:paraId="53B73C60">
      <w:pPr>
        <w:pStyle w:val="2"/>
        <w:spacing w:line="258" w:lineRule="auto"/>
      </w:pPr>
    </w:p>
    <w:p w14:paraId="1EB8F02D">
      <w:pPr>
        <w:pStyle w:val="2"/>
        <w:spacing w:line="258" w:lineRule="auto"/>
      </w:pPr>
    </w:p>
    <w:p w14:paraId="000CFF5C">
      <w:pPr>
        <w:pStyle w:val="2"/>
        <w:spacing w:line="258" w:lineRule="auto"/>
      </w:pPr>
    </w:p>
    <w:p w14:paraId="66E74F16">
      <w:pPr>
        <w:pStyle w:val="2"/>
        <w:spacing w:line="245" w:lineRule="auto"/>
      </w:pPr>
    </w:p>
    <w:p w14:paraId="406768C6">
      <w:pPr>
        <w:pStyle w:val="2"/>
        <w:spacing w:line="245" w:lineRule="auto"/>
      </w:pPr>
    </w:p>
    <w:p w14:paraId="631E36AF">
      <w:pPr>
        <w:pStyle w:val="2"/>
        <w:spacing w:line="245" w:lineRule="auto"/>
      </w:pPr>
    </w:p>
    <w:p w14:paraId="7F7E4107">
      <w:pPr>
        <w:pStyle w:val="2"/>
        <w:spacing w:line="245" w:lineRule="auto"/>
      </w:pPr>
    </w:p>
    <w:p w14:paraId="5A456EFD">
      <w:pPr>
        <w:pStyle w:val="2"/>
        <w:spacing w:line="245" w:lineRule="auto"/>
      </w:pPr>
    </w:p>
    <w:p w14:paraId="4442D893">
      <w:pPr>
        <w:pStyle w:val="2"/>
        <w:spacing w:line="245" w:lineRule="auto"/>
      </w:pPr>
    </w:p>
    <w:p w14:paraId="14FA117D">
      <w:pPr>
        <w:pStyle w:val="2"/>
        <w:spacing w:line="245" w:lineRule="auto"/>
      </w:pPr>
    </w:p>
    <w:p w14:paraId="381CF2E1">
      <w:pPr>
        <w:pStyle w:val="2"/>
        <w:spacing w:line="245" w:lineRule="auto"/>
      </w:pPr>
    </w:p>
    <w:p w14:paraId="492FED21">
      <w:pPr>
        <w:pStyle w:val="2"/>
        <w:spacing w:line="245" w:lineRule="auto"/>
      </w:pPr>
    </w:p>
    <w:p w14:paraId="0155FD1D">
      <w:pPr>
        <w:pStyle w:val="2"/>
        <w:spacing w:line="245" w:lineRule="auto"/>
      </w:pPr>
    </w:p>
    <w:p w14:paraId="7747474E">
      <w:pPr>
        <w:pStyle w:val="2"/>
        <w:spacing w:line="245" w:lineRule="auto"/>
      </w:pPr>
    </w:p>
    <w:p w14:paraId="0D0675C3">
      <w:pPr>
        <w:pStyle w:val="2"/>
        <w:spacing w:line="245" w:lineRule="auto"/>
      </w:pPr>
    </w:p>
    <w:p w14:paraId="0F46EC84">
      <w:pPr>
        <w:pStyle w:val="2"/>
        <w:spacing w:line="245" w:lineRule="auto"/>
      </w:pPr>
    </w:p>
    <w:p w14:paraId="27DC2933">
      <w:pPr>
        <w:pStyle w:val="2"/>
        <w:spacing w:line="246" w:lineRule="auto"/>
      </w:pPr>
    </w:p>
    <w:p w14:paraId="00D2423F">
      <w:pPr>
        <w:pStyle w:val="2"/>
        <w:spacing w:line="246" w:lineRule="auto"/>
      </w:pPr>
    </w:p>
    <w:p w14:paraId="1E9BEC7A">
      <w:pPr>
        <w:pStyle w:val="2"/>
        <w:spacing w:line="246" w:lineRule="auto"/>
      </w:pPr>
    </w:p>
    <w:p w14:paraId="22A2A294">
      <w:pPr>
        <w:pStyle w:val="2"/>
        <w:spacing w:line="246" w:lineRule="auto"/>
      </w:pPr>
    </w:p>
    <w:p w14:paraId="01E87FA3">
      <w:pPr>
        <w:pStyle w:val="2"/>
        <w:spacing w:line="246" w:lineRule="auto"/>
      </w:pPr>
    </w:p>
    <w:p w14:paraId="072DE8C5">
      <w:pPr>
        <w:numPr>
          <w:ilvl w:val="0"/>
          <w:numId w:val="3"/>
        </w:numPr>
        <w:spacing w:before="92" w:line="222" w:lineRule="auto"/>
        <w:ind w:left="4"/>
        <w:rPr>
          <w:rFonts w:ascii="黑体" w:hAnsi="黑体" w:eastAsia="黑体" w:cs="黑体"/>
          <w:sz w:val="28"/>
          <w:szCs w:val="28"/>
        </w:rPr>
      </w:pPr>
      <w:r>
        <w:rPr>
          <w:rFonts w:hint="eastAsia" w:ascii="黑体" w:hAnsi="黑体" w:eastAsia="黑体" w:cs="黑体"/>
          <w:sz w:val="28"/>
          <w:szCs w:val="28"/>
          <w:lang w:val="en-US" w:eastAsia="zh-CN"/>
        </w:rPr>
        <w:t>×</w:t>
      </w:r>
      <w:r>
        <w:rPr>
          <w:rFonts w:hint="default" w:ascii="黑体" w:hAnsi="黑体" w:eastAsia="黑体" w:cs="黑体"/>
          <w:sz w:val="28"/>
          <w:szCs w:val="28"/>
          <w:lang w:val="en-US" w:eastAsia="zh-CN"/>
        </w:rPr>
        <w:drawing>
          <wp:anchor distT="0" distB="0" distL="0" distR="0" simplePos="0" relativeHeight="251660288" behindDoc="0" locked="0" layoutInCell="1" allowOverlap="1">
            <wp:simplePos x="0" y="0"/>
            <wp:positionH relativeFrom="column">
              <wp:posOffset>635</wp:posOffset>
            </wp:positionH>
            <wp:positionV relativeFrom="paragraph">
              <wp:posOffset>241300</wp:posOffset>
            </wp:positionV>
            <wp:extent cx="6120130" cy="952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0"/>
                    <a:stretch>
                      <a:fillRect/>
                    </a:stretch>
                  </pic:blipFill>
                  <pic:spPr>
                    <a:xfrm>
                      <a:off x="0" y="0"/>
                      <a:ext cx="6120129" cy="9525"/>
                    </a:xfrm>
                    <a:prstGeom prst="rect">
                      <a:avLst/>
                    </a:prstGeom>
                  </pic:spPr>
                </pic:pic>
              </a:graphicData>
            </a:graphic>
          </wp:anchor>
        </w:drawing>
      </w:r>
      <w:r>
        <w:rPr>
          <w:rFonts w:hint="eastAsia" w:ascii="黑体" w:hAnsi="黑体" w:eastAsia="黑体" w:cs="黑体"/>
          <w:sz w:val="28"/>
          <w:szCs w:val="28"/>
          <w:lang w:val="en-US" w:eastAsia="zh-CN"/>
        </w:rPr>
        <w:t>×- ××</w:t>
      </w:r>
      <w:r>
        <w:rPr>
          <w:rFonts w:ascii="黑体" w:hAnsi="黑体" w:eastAsia="黑体" w:cs="黑体"/>
          <w:sz w:val="28"/>
          <w:szCs w:val="28"/>
        </w:rPr>
        <w:t xml:space="preserve">发布                          </w:t>
      </w:r>
      <w:r>
        <w:rPr>
          <w:rFonts w:ascii="黑体" w:hAnsi="黑体" w:eastAsia="黑体" w:cs="黑体"/>
          <w:spacing w:val="-1"/>
          <w:sz w:val="28"/>
          <w:szCs w:val="28"/>
        </w:rPr>
        <w:t xml:space="preserve"> </w:t>
      </w:r>
      <w:r>
        <w:rPr>
          <w:rFonts w:hint="eastAsia" w:ascii="黑体" w:hAnsi="黑体" w:eastAsia="黑体" w:cs="黑体"/>
          <w:sz w:val="28"/>
          <w:szCs w:val="28"/>
          <w:lang w:val="en-US" w:eastAsia="zh-CN"/>
        </w:rPr>
        <w:t>2026- ××-××</w:t>
      </w:r>
      <w:r>
        <w:rPr>
          <w:rFonts w:ascii="黑体" w:hAnsi="黑体" w:eastAsia="黑体" w:cs="黑体"/>
          <w:spacing w:val="-53"/>
          <w:sz w:val="28"/>
          <w:szCs w:val="28"/>
        </w:rPr>
        <w:t xml:space="preserve"> </w:t>
      </w:r>
      <w:r>
        <w:rPr>
          <w:rFonts w:ascii="黑体" w:hAnsi="黑体" w:eastAsia="黑体" w:cs="黑体"/>
          <w:spacing w:val="-1"/>
          <w:sz w:val="28"/>
          <w:szCs w:val="28"/>
        </w:rPr>
        <w:t>实施</w:t>
      </w:r>
    </w:p>
    <w:p w14:paraId="65FD044A">
      <w:pPr>
        <w:pStyle w:val="2"/>
        <w:spacing w:line="298" w:lineRule="auto"/>
      </w:pPr>
    </w:p>
    <w:p w14:paraId="07CD0601">
      <w:pPr>
        <w:pStyle w:val="2"/>
        <w:spacing w:line="299" w:lineRule="auto"/>
      </w:pPr>
    </w:p>
    <w:p w14:paraId="2666B6A0">
      <w:pPr>
        <w:spacing w:before="113" w:line="227" w:lineRule="auto"/>
        <w:jc w:val="center"/>
        <w:rPr>
          <w:rFonts w:ascii="黑体" w:hAnsi="黑体" w:eastAsia="黑体" w:cs="黑体"/>
          <w:sz w:val="28"/>
          <w:szCs w:val="28"/>
        </w:rPr>
      </w:pPr>
      <w:r>
        <w:rPr>
          <w:rFonts w:ascii="黑体" w:hAnsi="黑体" w:eastAsia="黑体" w:cs="黑体"/>
          <w:spacing w:val="50"/>
          <w:w w:val="125"/>
          <w:sz w:val="32"/>
          <w:szCs w:val="32"/>
        </w:rPr>
        <w:t>河北省食品</w:t>
      </w:r>
      <w:r>
        <w:rPr>
          <w:rFonts w:hint="eastAsia" w:ascii="黑体" w:hAnsi="黑体" w:eastAsia="黑体" w:cs="黑体"/>
          <w:spacing w:val="50"/>
          <w:w w:val="125"/>
          <w:sz w:val="32"/>
          <w:szCs w:val="32"/>
          <w:lang w:val="en-US" w:eastAsia="zh-CN"/>
        </w:rPr>
        <w:t>工业协会</w:t>
      </w:r>
      <w:r>
        <w:rPr>
          <w:rFonts w:ascii="黑体" w:hAnsi="黑体" w:eastAsia="黑体" w:cs="黑体"/>
          <w:spacing w:val="51"/>
          <w:sz w:val="35"/>
          <w:szCs w:val="35"/>
        </w:rPr>
        <w:t xml:space="preserve">  </w:t>
      </w:r>
      <w:r>
        <w:rPr>
          <w:rFonts w:ascii="黑体" w:hAnsi="黑体" w:eastAsia="黑体" w:cs="黑体"/>
          <w:spacing w:val="50"/>
          <w:w w:val="125"/>
          <w:position w:val="2"/>
          <w:sz w:val="28"/>
          <w:szCs w:val="28"/>
        </w:rPr>
        <w:t>发 布</w:t>
      </w:r>
    </w:p>
    <w:p w14:paraId="36296967">
      <w:pPr>
        <w:spacing w:line="227" w:lineRule="auto"/>
        <w:rPr>
          <w:rFonts w:ascii="黑体" w:hAnsi="黑体" w:eastAsia="黑体" w:cs="黑体"/>
          <w:sz w:val="28"/>
          <w:szCs w:val="28"/>
        </w:rPr>
        <w:sectPr>
          <w:pgSz w:w="11906" w:h="16839"/>
          <w:pgMar w:top="575" w:right="772" w:bottom="0" w:left="1416" w:header="0" w:footer="0" w:gutter="0"/>
          <w:cols w:space="720" w:num="1"/>
        </w:sectPr>
      </w:pPr>
    </w:p>
    <w:p w14:paraId="12CECF58">
      <w:pPr>
        <w:spacing w:before="42" w:line="264" w:lineRule="exact"/>
        <w:jc w:val="right"/>
        <w:rPr>
          <w:rFonts w:hint="default" w:ascii="黑体" w:hAnsi="黑体" w:eastAsia="宋体" w:cs="黑体"/>
          <w:sz w:val="20"/>
          <w:szCs w:val="20"/>
          <w:lang w:val="en-US" w:eastAsia="zh-CN"/>
        </w:rPr>
      </w:pPr>
      <w:r>
        <w:rPr>
          <w:rFonts w:ascii="黑体" w:hAnsi="黑体" w:eastAsia="黑体" w:cs="黑体"/>
          <w:spacing w:val="20"/>
          <w:position w:val="1"/>
          <w:sz w:val="20"/>
          <w:szCs w:val="20"/>
        </w:rPr>
        <w:t>T/</w:t>
      </w:r>
      <w:r>
        <w:rPr>
          <w:rFonts w:ascii="黑体" w:hAnsi="黑体" w:eastAsia="黑体" w:cs="黑体"/>
          <w:position w:val="1"/>
          <w:sz w:val="20"/>
          <w:szCs w:val="20"/>
        </w:rPr>
        <w:t>H</w:t>
      </w:r>
      <w:r>
        <w:rPr>
          <w:rFonts w:hint="eastAsia" w:ascii="黑体" w:hAnsi="黑体" w:eastAsia="黑体" w:cs="黑体"/>
          <w:position w:val="1"/>
          <w:sz w:val="20"/>
          <w:szCs w:val="20"/>
          <w:lang w:val="en-US" w:eastAsia="zh-CN"/>
        </w:rPr>
        <w:t>BFIA</w:t>
      </w:r>
      <w:r>
        <w:rPr>
          <w:rFonts w:ascii="黑体" w:hAnsi="黑体" w:eastAsia="黑体" w:cs="黑体"/>
          <w:spacing w:val="20"/>
          <w:position w:val="1"/>
          <w:sz w:val="20"/>
          <w:szCs w:val="20"/>
        </w:rPr>
        <w:t xml:space="preserve"> </w:t>
      </w:r>
      <w:r>
        <w:rPr>
          <w:rFonts w:hint="eastAsia" w:ascii="黑体" w:hAnsi="黑体" w:eastAsia="黑体" w:cs="黑体"/>
          <w:position w:val="1"/>
          <w:sz w:val="20"/>
          <w:szCs w:val="20"/>
          <w:lang w:val="en-US" w:eastAsia="zh-CN"/>
        </w:rPr>
        <w:t>0004</w:t>
      </w:r>
      <w:r>
        <w:rPr>
          <w:rFonts w:ascii="Times New Roman" w:hAnsi="Times New Roman" w:eastAsia="Times New Roman" w:cs="Times New Roman"/>
          <w:spacing w:val="20"/>
          <w:position w:val="1"/>
          <w:sz w:val="20"/>
          <w:szCs w:val="20"/>
        </w:rPr>
        <w:t>—</w:t>
      </w:r>
      <w:r>
        <w:rPr>
          <w:rFonts w:hint="eastAsia" w:ascii="黑体" w:hAnsi="黑体" w:eastAsia="黑体" w:cs="黑体"/>
          <w:position w:val="1"/>
          <w:sz w:val="20"/>
          <w:szCs w:val="20"/>
          <w:lang w:val="en-US" w:eastAsia="zh-CN"/>
        </w:rPr>
        <w:t>2026</w:t>
      </w:r>
    </w:p>
    <w:p w14:paraId="610BC12C">
      <w:pPr>
        <w:pStyle w:val="2"/>
        <w:spacing w:line="294" w:lineRule="auto"/>
      </w:pPr>
    </w:p>
    <w:p w14:paraId="026E8E7C">
      <w:pPr>
        <w:pStyle w:val="2"/>
        <w:spacing w:line="294" w:lineRule="auto"/>
      </w:pPr>
    </w:p>
    <w:p w14:paraId="512F0CEC">
      <w:pPr>
        <w:pStyle w:val="2"/>
        <w:spacing w:line="295" w:lineRule="auto"/>
      </w:pPr>
    </w:p>
    <w:p w14:paraId="4AE324B7">
      <w:pPr>
        <w:spacing w:before="101" w:line="228" w:lineRule="auto"/>
        <w:ind w:left="4039"/>
        <w:outlineLvl w:val="0"/>
        <w:rPr>
          <w:rFonts w:ascii="黑体" w:hAnsi="黑体" w:eastAsia="黑体" w:cs="黑体"/>
          <w:sz w:val="31"/>
          <w:szCs w:val="31"/>
        </w:rPr>
      </w:pPr>
      <w:r>
        <w:rPr>
          <w:rFonts w:ascii="黑体" w:hAnsi="黑体" w:eastAsia="黑体" w:cs="黑体"/>
          <w:spacing w:val="-2"/>
          <w:sz w:val="31"/>
          <w:szCs w:val="31"/>
        </w:rPr>
        <w:t>前</w:t>
      </w:r>
      <w:r>
        <w:rPr>
          <w:rFonts w:ascii="黑体" w:hAnsi="黑体" w:eastAsia="黑体" w:cs="黑体"/>
          <w:spacing w:val="11"/>
          <w:sz w:val="31"/>
          <w:szCs w:val="31"/>
        </w:rPr>
        <w:t xml:space="preserve">    </w:t>
      </w:r>
      <w:r>
        <w:rPr>
          <w:rFonts w:ascii="黑体" w:hAnsi="黑体" w:eastAsia="黑体" w:cs="黑体"/>
          <w:spacing w:val="-2"/>
          <w:sz w:val="31"/>
          <w:szCs w:val="31"/>
        </w:rPr>
        <w:t>言</w:t>
      </w:r>
    </w:p>
    <w:p w14:paraId="066CE3A5">
      <w:pPr>
        <w:pStyle w:val="2"/>
        <w:spacing w:line="315" w:lineRule="auto"/>
      </w:pPr>
    </w:p>
    <w:p w14:paraId="596CA522">
      <w:pPr>
        <w:pStyle w:val="2"/>
        <w:spacing w:line="316" w:lineRule="auto"/>
      </w:pPr>
    </w:p>
    <w:p w14:paraId="7D78A352">
      <w:pPr>
        <w:spacing w:before="66" w:line="288" w:lineRule="auto"/>
        <w:ind w:right="1" w:firstLine="419"/>
        <w:rPr>
          <w:rFonts w:ascii="宋体" w:hAnsi="宋体" w:eastAsia="宋体" w:cs="宋体"/>
          <w:sz w:val="20"/>
          <w:szCs w:val="20"/>
        </w:rPr>
      </w:pPr>
      <w:r>
        <w:rPr>
          <w:rFonts w:ascii="宋体" w:hAnsi="宋体" w:eastAsia="宋体" w:cs="宋体"/>
          <w:spacing w:val="9"/>
          <w:sz w:val="20"/>
          <w:szCs w:val="20"/>
        </w:rPr>
        <w:t>本文件按照</w:t>
      </w:r>
      <w:r>
        <w:rPr>
          <w:rFonts w:ascii="宋体" w:hAnsi="宋体" w:eastAsia="宋体" w:cs="宋体"/>
          <w:sz w:val="20"/>
          <w:szCs w:val="20"/>
        </w:rPr>
        <w:t>GB</w:t>
      </w:r>
      <w:r>
        <w:rPr>
          <w:rFonts w:ascii="宋体" w:hAnsi="宋体" w:eastAsia="宋体" w:cs="宋体"/>
          <w:spacing w:val="9"/>
          <w:sz w:val="20"/>
          <w:szCs w:val="20"/>
        </w:rPr>
        <w:t>/T 1.1-2020《标准化工作导则 第1部分：标准化文件的结构</w:t>
      </w:r>
      <w:r>
        <w:rPr>
          <w:rFonts w:ascii="宋体" w:hAnsi="宋体" w:eastAsia="宋体" w:cs="宋体"/>
          <w:spacing w:val="8"/>
          <w:sz w:val="20"/>
          <w:szCs w:val="20"/>
        </w:rPr>
        <w:t>和起草规则》的规定起</w:t>
      </w:r>
      <w:r>
        <w:rPr>
          <w:rFonts w:ascii="宋体" w:hAnsi="宋体" w:eastAsia="宋体" w:cs="宋体"/>
          <w:spacing w:val="-1"/>
          <w:sz w:val="20"/>
          <w:szCs w:val="20"/>
        </w:rPr>
        <w:t>草。</w:t>
      </w:r>
    </w:p>
    <w:p w14:paraId="0E95110A">
      <w:pPr>
        <w:keepNext w:val="0"/>
        <w:keepLines w:val="0"/>
        <w:widowControl/>
        <w:suppressLineNumbers w:val="0"/>
        <w:ind w:firstLine="436" w:firstLineChars="200"/>
        <w:jc w:val="left"/>
        <w:rPr>
          <w:rFonts w:ascii="宋体" w:hAnsi="宋体" w:eastAsia="宋体" w:cs="宋体"/>
          <w:sz w:val="20"/>
          <w:szCs w:val="20"/>
        </w:rPr>
      </w:pPr>
      <w:r>
        <w:rPr>
          <w:rFonts w:ascii="宋体" w:hAnsi="宋体" w:eastAsia="宋体" w:cs="宋体"/>
          <w:spacing w:val="9"/>
          <w:sz w:val="20"/>
          <w:szCs w:val="20"/>
        </w:rPr>
        <w:t>本文件</w:t>
      </w:r>
      <w:r>
        <w:rPr>
          <w:rFonts w:hint="eastAsia" w:ascii="宋体" w:hAnsi="宋体" w:eastAsia="宋体" w:cs="宋体"/>
          <w:spacing w:val="9"/>
          <w:sz w:val="20"/>
          <w:szCs w:val="20"/>
          <w:lang w:val="en-US" w:eastAsia="zh-CN"/>
        </w:rPr>
        <w:t>替代</w:t>
      </w:r>
      <w:r>
        <w:rPr>
          <w:rFonts w:hint="default" w:ascii="宋体" w:hAnsi="宋体" w:eastAsia="宋体" w:cs="宋体"/>
          <w:spacing w:val="9"/>
          <w:sz w:val="20"/>
          <w:szCs w:val="20"/>
          <w:lang w:val="en-US" w:eastAsia="zh-CN"/>
        </w:rPr>
        <w:t>T/HBFIA 0004</w:t>
      </w:r>
      <w:r>
        <w:rPr>
          <w:rFonts w:hint="eastAsia" w:ascii="宋体" w:hAnsi="宋体" w:eastAsia="宋体" w:cs="宋体"/>
          <w:spacing w:val="9"/>
          <w:sz w:val="20"/>
          <w:szCs w:val="20"/>
          <w:lang w:val="en-US" w:eastAsia="zh-CN"/>
        </w:rPr>
        <w:t>-</w:t>
      </w:r>
      <w:r>
        <w:rPr>
          <w:rFonts w:hint="default" w:ascii="宋体" w:hAnsi="宋体" w:eastAsia="宋体" w:cs="宋体"/>
          <w:spacing w:val="9"/>
          <w:sz w:val="20"/>
          <w:szCs w:val="20"/>
          <w:lang w:val="en-US" w:eastAsia="zh-CN"/>
        </w:rPr>
        <w:t>2020</w:t>
      </w:r>
      <w:r>
        <w:rPr>
          <w:rFonts w:hint="eastAsia" w:ascii="宋体" w:hAnsi="宋体" w:eastAsia="宋体" w:cs="宋体"/>
          <w:spacing w:val="9"/>
          <w:sz w:val="20"/>
          <w:szCs w:val="20"/>
          <w:lang w:val="en-US" w:eastAsia="zh-CN"/>
        </w:rPr>
        <w:t>《红枣制品》，与</w:t>
      </w:r>
      <w:r>
        <w:rPr>
          <w:rFonts w:hint="default" w:ascii="宋体" w:hAnsi="宋体" w:eastAsia="宋体" w:cs="宋体"/>
          <w:spacing w:val="9"/>
          <w:sz w:val="20"/>
          <w:szCs w:val="20"/>
          <w:lang w:val="en-US" w:eastAsia="zh-CN"/>
        </w:rPr>
        <w:t>T/HBFIA 0004</w:t>
      </w:r>
      <w:r>
        <w:rPr>
          <w:rFonts w:hint="eastAsia" w:ascii="宋体" w:hAnsi="宋体" w:eastAsia="宋体" w:cs="宋体"/>
          <w:spacing w:val="9"/>
          <w:sz w:val="20"/>
          <w:szCs w:val="20"/>
          <w:lang w:val="en-US" w:eastAsia="zh-CN"/>
        </w:rPr>
        <w:t>-</w:t>
      </w:r>
      <w:r>
        <w:rPr>
          <w:rFonts w:hint="default" w:ascii="宋体" w:hAnsi="宋体" w:eastAsia="宋体" w:cs="宋体"/>
          <w:spacing w:val="9"/>
          <w:sz w:val="20"/>
          <w:szCs w:val="20"/>
          <w:lang w:val="en-US" w:eastAsia="zh-CN"/>
        </w:rPr>
        <w:t>2020</w:t>
      </w:r>
      <w:r>
        <w:rPr>
          <w:rFonts w:hint="eastAsia" w:ascii="宋体" w:hAnsi="宋体" w:eastAsia="宋体" w:cs="宋体"/>
          <w:spacing w:val="9"/>
          <w:sz w:val="20"/>
          <w:szCs w:val="20"/>
          <w:lang w:val="en-US" w:eastAsia="zh-CN"/>
        </w:rPr>
        <w:t>相比，主要技术变化如下：</w:t>
      </w:r>
    </w:p>
    <w:p w14:paraId="5478A2AE">
      <w:pPr>
        <w:spacing w:line="226" w:lineRule="auto"/>
        <w:ind w:left="419"/>
        <w:rPr>
          <w:rFonts w:hint="default" w:ascii="宋体" w:hAnsi="宋体" w:eastAsia="宋体" w:cs="宋体"/>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更改了范围（见第1章，2020年版第1章）；</w:t>
      </w:r>
    </w:p>
    <w:p w14:paraId="643D05D8">
      <w:pPr>
        <w:spacing w:line="226" w:lineRule="auto"/>
        <w:ind w:left="419"/>
        <w:rPr>
          <w:rFonts w:hint="eastAsia" w:asciiTheme="minorEastAsia" w:hAnsiTheme="minorEastAsia" w:eastAsiaTheme="minorEastAsia" w:cstheme="minorEastAsia"/>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更改了术语和定义（见第3章，2020年版第3章）；</w:t>
      </w:r>
    </w:p>
    <w:p w14:paraId="71478418">
      <w:pPr>
        <w:spacing w:line="226" w:lineRule="auto"/>
        <w:ind w:left="419"/>
        <w:rPr>
          <w:rFonts w:hint="eastAsia" w:asciiTheme="minorEastAsia" w:hAnsiTheme="minorEastAsia" w:eastAsiaTheme="minorEastAsia" w:cstheme="minorEastAsia"/>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更改了原辅料要求（见4.1，2020年版的4.1）；</w:t>
      </w:r>
    </w:p>
    <w:p w14:paraId="4FA73A9F">
      <w:pPr>
        <w:spacing w:line="226" w:lineRule="auto"/>
        <w:ind w:left="419"/>
        <w:rPr>
          <w:rFonts w:hint="default" w:ascii="微软雅黑" w:hAnsi="微软雅黑" w:eastAsia="微软雅黑" w:cs="微软雅黑"/>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更改了感官要求（见4.2，2020年版的4.2）；</w:t>
      </w:r>
    </w:p>
    <w:p w14:paraId="135E3013">
      <w:pPr>
        <w:spacing w:line="226" w:lineRule="auto"/>
        <w:ind w:left="419"/>
        <w:rPr>
          <w:rFonts w:hint="eastAsia" w:ascii="微软雅黑" w:hAnsi="微软雅黑" w:eastAsia="微软雅黑" w:cs="微软雅黑"/>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更改了理化指标（见4.3，2020年版的4.3）；</w:t>
      </w:r>
    </w:p>
    <w:p w14:paraId="6EFBF842">
      <w:pPr>
        <w:spacing w:line="226" w:lineRule="auto"/>
        <w:ind w:left="419"/>
        <w:rPr>
          <w:rFonts w:hint="eastAsia" w:asciiTheme="minorEastAsia" w:hAnsiTheme="minorEastAsia" w:eastAsiaTheme="minorEastAsia" w:cstheme="minorEastAsia"/>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更改了微生物指标（见4.4，2020年版的4.4）；</w:t>
      </w:r>
    </w:p>
    <w:p w14:paraId="47596F04">
      <w:pPr>
        <w:spacing w:line="226" w:lineRule="auto"/>
        <w:ind w:left="419"/>
        <w:rPr>
          <w:rFonts w:hint="eastAsia" w:asciiTheme="minorEastAsia" w:hAnsiTheme="minorEastAsia" w:eastAsiaTheme="minorEastAsia" w:cstheme="minorEastAsia"/>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更改了真菌毒素限量（见4.6，2020年版的4.6）；</w:t>
      </w:r>
    </w:p>
    <w:p w14:paraId="012553ED">
      <w:pPr>
        <w:spacing w:line="226" w:lineRule="auto"/>
        <w:ind w:left="419"/>
        <w:rPr>
          <w:rFonts w:hint="eastAsia" w:asciiTheme="minorEastAsia" w:hAnsiTheme="minorEastAsia" w:eastAsiaTheme="minorEastAsia" w:cstheme="minorEastAsia"/>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更改了污染物限量（见4.7，2020年版的4.7）；</w:t>
      </w:r>
    </w:p>
    <w:p w14:paraId="1E181433">
      <w:pPr>
        <w:spacing w:line="226" w:lineRule="auto"/>
        <w:ind w:left="419"/>
        <w:rPr>
          <w:rFonts w:hint="eastAsia" w:asciiTheme="minorEastAsia" w:hAnsiTheme="minorEastAsia" w:eastAsiaTheme="minorEastAsia" w:cstheme="minorEastAsia"/>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更改了净含量（见4.9，2020年版的4.9）；</w:t>
      </w:r>
    </w:p>
    <w:p w14:paraId="369F9DFA">
      <w:pPr>
        <w:spacing w:line="226" w:lineRule="auto"/>
        <w:ind w:left="419"/>
        <w:rPr>
          <w:rFonts w:hint="eastAsia" w:asciiTheme="minorEastAsia" w:hAnsiTheme="minorEastAsia" w:eastAsiaTheme="minorEastAsia" w:cstheme="minorEastAsia"/>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更改了型式检验（见6.4，2020年版的6.4）；</w:t>
      </w:r>
    </w:p>
    <w:p w14:paraId="6C10247D">
      <w:pPr>
        <w:spacing w:line="226" w:lineRule="auto"/>
        <w:ind w:left="419"/>
        <w:rPr>
          <w:rFonts w:hint="default" w:asciiTheme="minorEastAsia" w:hAnsiTheme="minorEastAsia" w:eastAsiaTheme="minorEastAsia" w:cstheme="minorEastAsia"/>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更改了贮存（见7.3，2020年版的7.3）；</w:t>
      </w:r>
    </w:p>
    <w:p w14:paraId="15BEB2A9">
      <w:pPr>
        <w:spacing w:line="226" w:lineRule="auto"/>
        <w:ind w:left="419"/>
        <w:rPr>
          <w:rFonts w:hint="default" w:asciiTheme="minorEastAsia" w:hAnsiTheme="minorEastAsia" w:eastAsiaTheme="minorEastAsia" w:cstheme="minorEastAsia"/>
          <w:spacing w:val="9"/>
          <w:sz w:val="20"/>
          <w:szCs w:val="20"/>
          <w:lang w:val="en-US" w:eastAsia="zh-CN"/>
        </w:rPr>
      </w:pPr>
      <w:r>
        <w:rPr>
          <w:rFonts w:hint="eastAsia" w:ascii="微软雅黑" w:hAnsi="微软雅黑" w:eastAsia="微软雅黑" w:cs="微软雅黑"/>
          <w:spacing w:val="9"/>
          <w:sz w:val="20"/>
          <w:szCs w:val="20"/>
          <w:lang w:val="en-US" w:eastAsia="zh-CN"/>
        </w:rPr>
        <w:t>——</w:t>
      </w:r>
      <w:r>
        <w:rPr>
          <w:rFonts w:hint="eastAsia" w:asciiTheme="minorEastAsia" w:hAnsiTheme="minorEastAsia" w:eastAsiaTheme="minorEastAsia" w:cstheme="minorEastAsia"/>
          <w:spacing w:val="9"/>
          <w:sz w:val="20"/>
          <w:szCs w:val="20"/>
          <w:lang w:val="en-US" w:eastAsia="zh-CN"/>
        </w:rPr>
        <w:t>更改了运输（见7.4，2020年版的7.4）。</w:t>
      </w:r>
    </w:p>
    <w:p w14:paraId="33C271DB">
      <w:pPr>
        <w:spacing w:before="66" w:line="227" w:lineRule="auto"/>
        <w:ind w:left="419"/>
        <w:rPr>
          <w:rFonts w:ascii="宋体" w:hAnsi="宋体" w:eastAsia="宋体" w:cs="宋体"/>
          <w:spacing w:val="8"/>
          <w:sz w:val="20"/>
          <w:szCs w:val="20"/>
        </w:rPr>
      </w:pPr>
      <w:r>
        <w:rPr>
          <w:rFonts w:ascii="宋体" w:hAnsi="宋体" w:eastAsia="宋体" w:cs="宋体"/>
          <w:spacing w:val="9"/>
          <w:sz w:val="20"/>
          <w:szCs w:val="20"/>
        </w:rPr>
        <w:t>本文件的某些内容可能涉及专利。本文件的发布机构不承担识别专利的责任。</w:t>
      </w:r>
    </w:p>
    <w:p w14:paraId="1E6BA00A">
      <w:pPr>
        <w:spacing w:before="66" w:line="227" w:lineRule="auto"/>
        <w:ind w:left="419"/>
        <w:rPr>
          <w:rFonts w:ascii="宋体" w:hAnsi="宋体" w:eastAsia="宋体" w:cs="宋体"/>
          <w:sz w:val="20"/>
          <w:szCs w:val="20"/>
        </w:rPr>
      </w:pPr>
      <w:r>
        <w:rPr>
          <w:rFonts w:ascii="宋体" w:hAnsi="宋体" w:eastAsia="宋体" w:cs="宋体"/>
          <w:spacing w:val="8"/>
          <w:sz w:val="20"/>
          <w:szCs w:val="20"/>
        </w:rPr>
        <w:t>本文件由河北省食品</w:t>
      </w:r>
      <w:r>
        <w:rPr>
          <w:rFonts w:hint="eastAsia" w:ascii="宋体" w:hAnsi="宋体" w:eastAsia="宋体" w:cs="宋体"/>
          <w:spacing w:val="8"/>
          <w:sz w:val="20"/>
          <w:szCs w:val="20"/>
          <w:lang w:val="en-US" w:eastAsia="zh-CN"/>
        </w:rPr>
        <w:t>工业协会</w:t>
      </w:r>
      <w:r>
        <w:rPr>
          <w:rFonts w:ascii="宋体" w:hAnsi="宋体" w:eastAsia="宋体" w:cs="宋体"/>
          <w:spacing w:val="8"/>
          <w:sz w:val="20"/>
          <w:szCs w:val="20"/>
        </w:rPr>
        <w:t>提出</w:t>
      </w:r>
      <w:r>
        <w:rPr>
          <w:rFonts w:hint="eastAsia" w:ascii="宋体" w:hAnsi="宋体" w:eastAsia="宋体" w:cs="宋体"/>
          <w:spacing w:val="8"/>
          <w:sz w:val="20"/>
          <w:szCs w:val="20"/>
          <w:lang w:val="en-US" w:eastAsia="zh-CN"/>
        </w:rPr>
        <w:t>并归口</w:t>
      </w:r>
      <w:r>
        <w:rPr>
          <w:rFonts w:ascii="宋体" w:hAnsi="宋体" w:eastAsia="宋体" w:cs="宋体"/>
          <w:spacing w:val="8"/>
          <w:sz w:val="20"/>
          <w:szCs w:val="20"/>
        </w:rPr>
        <w:t>。</w:t>
      </w:r>
    </w:p>
    <w:p w14:paraId="570CD2C7">
      <w:pPr>
        <w:keepNext w:val="0"/>
        <w:keepLines w:val="0"/>
        <w:widowControl/>
        <w:suppressLineNumbers w:val="0"/>
        <w:ind w:firstLine="436" w:firstLineChars="200"/>
        <w:jc w:val="left"/>
        <w:rPr>
          <w:rFonts w:hint="eastAsia" w:ascii="宋体" w:hAnsi="宋体" w:eastAsia="宋体" w:cs="宋体"/>
          <w:spacing w:val="9"/>
          <w:sz w:val="20"/>
          <w:szCs w:val="20"/>
        </w:rPr>
      </w:pPr>
      <w:r>
        <w:rPr>
          <w:rFonts w:ascii="宋体" w:hAnsi="宋体" w:eastAsia="宋体" w:cs="宋体"/>
          <w:spacing w:val="9"/>
          <w:sz w:val="20"/>
          <w:szCs w:val="20"/>
        </w:rPr>
        <w:t>本文件起草单位</w:t>
      </w:r>
      <w:r>
        <w:rPr>
          <w:rFonts w:hint="eastAsia" w:ascii="宋体" w:hAnsi="宋体" w:eastAsia="宋体" w:cs="宋体"/>
          <w:spacing w:val="9"/>
          <w:sz w:val="20"/>
          <w:szCs w:val="20"/>
          <w:lang w:eastAsia="zh-CN"/>
        </w:rPr>
        <w:t>：</w:t>
      </w:r>
      <w:r>
        <w:rPr>
          <w:rFonts w:hint="eastAsia" w:ascii="宋体" w:hAnsi="宋体" w:eastAsia="宋体" w:cs="宋体"/>
          <w:spacing w:val="9"/>
          <w:sz w:val="20"/>
          <w:szCs w:val="20"/>
          <w:lang w:val="en-US" w:eastAsia="zh-CN"/>
        </w:rPr>
        <w:t>沧县市场监督管理局、沧州市食品</w:t>
      </w:r>
      <w:r>
        <w:rPr>
          <w:rFonts w:hint="default" w:ascii="宋体" w:hAnsi="宋体" w:eastAsia="宋体" w:cs="宋体"/>
          <w:spacing w:val="9"/>
          <w:sz w:val="20"/>
          <w:szCs w:val="20"/>
          <w:lang w:val="en-US" w:eastAsia="zh-CN"/>
        </w:rPr>
        <w:t xml:space="preserve">药品检验所、沧州思宏枣业有限公司、沧州全鑫食品有限公司、沧州美枣王食品有限公司、黄骅市天天食品发展有限公司、承德神栗食品股份有限公司、阜平县军熙枣业有限公司、黄骅市国润生态食品有限公司、沧州恩际生物制品有限公司、沧州兴沧园食品有限公司、沧州枣香村果食品有限公司、沧州市宏光枣业有限公司、河北华聚食品有限公司、河北欧亚匡生物食品有限公司、沧州红园红枣业有限公司、沧州宏宇枣业有限公司（以上企业排名不分先后）。 </w:t>
      </w:r>
    </w:p>
    <w:p w14:paraId="1D51DEA9">
      <w:pPr>
        <w:keepNext w:val="0"/>
        <w:keepLines w:val="0"/>
        <w:widowControl/>
        <w:suppressLineNumbers w:val="0"/>
        <w:ind w:firstLine="436" w:firstLineChars="200"/>
        <w:jc w:val="left"/>
        <w:rPr>
          <w:rFonts w:hint="eastAsia" w:ascii="宋体" w:hAnsi="宋体" w:eastAsia="宋体" w:cs="宋体"/>
          <w:spacing w:val="9"/>
          <w:sz w:val="20"/>
          <w:szCs w:val="20"/>
          <w:lang w:val="en-US" w:eastAsia="zh-CN"/>
        </w:rPr>
      </w:pPr>
      <w:r>
        <w:rPr>
          <w:rFonts w:hint="eastAsia" w:asciiTheme="minorEastAsia" w:hAnsiTheme="minorEastAsia" w:eastAsiaTheme="minorEastAsia" w:cstheme="minorEastAsia"/>
          <w:spacing w:val="9"/>
          <w:sz w:val="20"/>
          <w:szCs w:val="20"/>
        </w:rPr>
        <w:t>本文件主要起草人：</w:t>
      </w:r>
      <w:r>
        <w:rPr>
          <w:rFonts w:hint="eastAsia" w:asciiTheme="minorEastAsia" w:hAnsiTheme="minorEastAsia" w:eastAsiaTheme="minorEastAsia" w:cstheme="minorEastAsia"/>
          <w:spacing w:val="9"/>
          <w:sz w:val="20"/>
          <w:szCs w:val="20"/>
          <w:lang w:val="en-US" w:eastAsia="zh-CN"/>
        </w:rPr>
        <w:t>张军艳、</w:t>
      </w:r>
      <w:r>
        <w:rPr>
          <w:rFonts w:hint="eastAsia" w:asciiTheme="minorEastAsia" w:hAnsiTheme="minorEastAsia" w:eastAsiaTheme="minorEastAsia" w:cstheme="minorEastAsia"/>
          <w:snapToGrid w:val="0"/>
          <w:color w:val="000000"/>
          <w:kern w:val="0"/>
          <w:sz w:val="20"/>
          <w:szCs w:val="20"/>
          <w:lang w:val="en-US" w:eastAsia="zh-CN" w:bidi="ar"/>
        </w:rPr>
        <w:t>杨培绪、刘宪军、韩国良、王晓明、刘振峰、夏卫东、李克刚、刘友志、王淑军、杜国良、赵天丽、周月昌、刘桂震、李春文、蒲保栋、孙泽辉、李金鹏、魏景春、田晓丽、赵连锋、史建东</w:t>
      </w:r>
      <w:r>
        <w:rPr>
          <w:rFonts w:hint="eastAsia" w:asciiTheme="minorEastAsia" w:hAnsiTheme="minorEastAsia" w:eastAsiaTheme="minorEastAsia" w:cstheme="minorEastAsia"/>
          <w:spacing w:val="9"/>
          <w:sz w:val="20"/>
          <w:szCs w:val="20"/>
        </w:rPr>
        <w:t xml:space="preserve"> </w:t>
      </w:r>
      <w:r>
        <w:rPr>
          <w:rFonts w:hint="eastAsia" w:ascii="宋体" w:hAnsi="宋体" w:eastAsia="宋体" w:cs="宋体"/>
          <w:spacing w:val="9"/>
          <w:sz w:val="20"/>
          <w:szCs w:val="20"/>
          <w:lang w:val="en-US" w:eastAsia="zh-CN"/>
        </w:rPr>
        <w:t>。</w:t>
      </w:r>
    </w:p>
    <w:p w14:paraId="483EDF95">
      <w:pPr>
        <w:spacing w:before="66" w:line="227" w:lineRule="auto"/>
        <w:ind w:left="419"/>
        <w:rPr>
          <w:rFonts w:hint="eastAsia" w:ascii="宋体" w:hAnsi="宋体" w:eastAsia="宋体" w:cs="宋体"/>
          <w:spacing w:val="7"/>
          <w:sz w:val="20"/>
          <w:szCs w:val="20"/>
        </w:rPr>
      </w:pPr>
      <w:r>
        <w:rPr>
          <w:rFonts w:hint="eastAsia" w:ascii="宋体" w:hAnsi="宋体" w:eastAsia="宋体" w:cs="宋体"/>
          <w:spacing w:val="7"/>
          <w:sz w:val="20"/>
          <w:szCs w:val="20"/>
        </w:rPr>
        <w:t>本文件及其所代替文件的历次版本发布情况为：</w:t>
      </w:r>
    </w:p>
    <w:p w14:paraId="3F6B64D9">
      <w:pPr>
        <w:spacing w:line="226" w:lineRule="auto"/>
        <w:ind w:left="419"/>
        <w:rPr>
          <w:rFonts w:hint="eastAsia" w:ascii="宋体" w:hAnsi="宋体" w:eastAsia="宋体" w:cs="宋体"/>
          <w:spacing w:val="7"/>
          <w:sz w:val="20"/>
          <w:szCs w:val="20"/>
        </w:rPr>
      </w:pPr>
      <w:r>
        <w:rPr>
          <w:rFonts w:hint="eastAsia" w:ascii="微软雅黑" w:hAnsi="微软雅黑" w:eastAsia="微软雅黑" w:cs="微软雅黑"/>
          <w:spacing w:val="9"/>
          <w:sz w:val="20"/>
          <w:szCs w:val="20"/>
          <w:lang w:val="en-US" w:eastAsia="zh-CN"/>
        </w:rPr>
        <w:t>——</w:t>
      </w:r>
      <w:r>
        <w:rPr>
          <w:rFonts w:hint="eastAsia" w:ascii="宋体" w:hAnsi="宋体" w:eastAsia="宋体" w:cs="宋体"/>
          <w:spacing w:val="7"/>
          <w:sz w:val="20"/>
          <w:szCs w:val="20"/>
        </w:rPr>
        <w:t>20</w:t>
      </w:r>
      <w:r>
        <w:rPr>
          <w:rFonts w:hint="eastAsia" w:ascii="宋体" w:hAnsi="宋体" w:eastAsia="宋体" w:cs="宋体"/>
          <w:spacing w:val="7"/>
          <w:sz w:val="20"/>
          <w:szCs w:val="20"/>
          <w:lang w:val="en-US" w:eastAsia="zh-CN"/>
        </w:rPr>
        <w:t>20</w:t>
      </w:r>
      <w:r>
        <w:rPr>
          <w:rFonts w:hint="eastAsia" w:ascii="宋体" w:hAnsi="宋体" w:eastAsia="宋体" w:cs="宋体"/>
          <w:spacing w:val="7"/>
          <w:sz w:val="20"/>
          <w:szCs w:val="20"/>
        </w:rPr>
        <w:t>年首次发布为</w:t>
      </w:r>
      <w:r>
        <w:rPr>
          <w:rFonts w:hint="default" w:ascii="宋体" w:hAnsi="宋体" w:eastAsia="宋体" w:cs="宋体"/>
          <w:spacing w:val="9"/>
          <w:sz w:val="20"/>
          <w:szCs w:val="20"/>
          <w:lang w:val="en-US" w:eastAsia="zh-CN"/>
        </w:rPr>
        <w:t>T/HBFIA 0004</w:t>
      </w:r>
      <w:r>
        <w:rPr>
          <w:rFonts w:hint="eastAsia" w:ascii="宋体" w:hAnsi="宋体" w:eastAsia="宋体" w:cs="宋体"/>
          <w:spacing w:val="9"/>
          <w:sz w:val="20"/>
          <w:szCs w:val="20"/>
          <w:lang w:val="en-US" w:eastAsia="zh-CN"/>
        </w:rPr>
        <w:t>-</w:t>
      </w:r>
      <w:r>
        <w:rPr>
          <w:rFonts w:hint="default" w:ascii="宋体" w:hAnsi="宋体" w:eastAsia="宋体" w:cs="宋体"/>
          <w:spacing w:val="9"/>
          <w:sz w:val="20"/>
          <w:szCs w:val="20"/>
          <w:lang w:val="en-US" w:eastAsia="zh-CN"/>
        </w:rPr>
        <w:t>2020</w:t>
      </w:r>
      <w:r>
        <w:rPr>
          <w:rFonts w:hint="eastAsia" w:ascii="宋体" w:hAnsi="宋体" w:eastAsia="宋体" w:cs="宋体"/>
          <w:spacing w:val="7"/>
          <w:sz w:val="20"/>
          <w:szCs w:val="20"/>
        </w:rPr>
        <w:t>；</w:t>
      </w:r>
    </w:p>
    <w:p w14:paraId="3C347EF3">
      <w:pPr>
        <w:spacing w:line="226" w:lineRule="auto"/>
        <w:ind w:left="419"/>
        <w:rPr>
          <w:rFonts w:ascii="宋体" w:hAnsi="宋体" w:eastAsia="宋体" w:cs="宋体"/>
          <w:spacing w:val="7"/>
          <w:sz w:val="20"/>
          <w:szCs w:val="20"/>
        </w:rPr>
      </w:pPr>
      <w:r>
        <w:rPr>
          <w:rFonts w:hint="eastAsia" w:ascii="微软雅黑" w:hAnsi="微软雅黑" w:eastAsia="微软雅黑" w:cs="微软雅黑"/>
          <w:spacing w:val="9"/>
          <w:sz w:val="20"/>
          <w:szCs w:val="20"/>
          <w:lang w:val="en-US" w:eastAsia="zh-CN"/>
        </w:rPr>
        <w:t>——</w:t>
      </w:r>
      <w:r>
        <w:rPr>
          <w:rFonts w:hint="eastAsia" w:ascii="宋体" w:hAnsi="宋体" w:eastAsia="宋体" w:cs="宋体"/>
          <w:spacing w:val="7"/>
          <w:sz w:val="20"/>
          <w:szCs w:val="20"/>
        </w:rPr>
        <w:t>本次为第一次修订。</w:t>
      </w:r>
    </w:p>
    <w:p w14:paraId="215F2085">
      <w:pPr>
        <w:spacing w:line="227" w:lineRule="auto"/>
        <w:rPr>
          <w:rFonts w:ascii="宋体" w:hAnsi="宋体" w:eastAsia="宋体" w:cs="宋体"/>
          <w:sz w:val="20"/>
          <w:szCs w:val="20"/>
        </w:rPr>
        <w:sectPr>
          <w:pgSz w:w="11906" w:h="16839"/>
          <w:pgMar w:top="1406" w:right="1133" w:bottom="0" w:left="1428" w:header="0" w:footer="0" w:gutter="0"/>
          <w:cols w:space="720" w:num="1"/>
        </w:sectPr>
      </w:pPr>
    </w:p>
    <w:p w14:paraId="7C7B6D14">
      <w:pPr>
        <w:pStyle w:val="2"/>
        <w:spacing w:line="274" w:lineRule="auto"/>
      </w:pPr>
    </w:p>
    <w:p w14:paraId="41DB2234">
      <w:pPr>
        <w:pStyle w:val="2"/>
        <w:spacing w:line="274" w:lineRule="auto"/>
      </w:pPr>
    </w:p>
    <w:p w14:paraId="2A61DD2F">
      <w:pPr>
        <w:pStyle w:val="2"/>
        <w:spacing w:line="275" w:lineRule="auto"/>
      </w:pPr>
    </w:p>
    <w:p w14:paraId="65D1687F">
      <w:pPr>
        <w:spacing w:before="101" w:line="230" w:lineRule="auto"/>
        <w:ind w:left="4040"/>
        <w:outlineLvl w:val="0"/>
        <w:rPr>
          <w:rFonts w:ascii="黑体" w:hAnsi="黑体" w:eastAsia="黑体" w:cs="黑体"/>
          <w:sz w:val="31"/>
          <w:szCs w:val="31"/>
        </w:rPr>
      </w:pPr>
      <w:r>
        <w:rPr>
          <w:rFonts w:hint="eastAsia" w:ascii="黑体" w:hAnsi="黑体" w:eastAsia="黑体" w:cs="黑体"/>
          <w:spacing w:val="7"/>
          <w:sz w:val="31"/>
          <w:szCs w:val="31"/>
          <w:lang w:eastAsia="zh-CN"/>
        </w:rPr>
        <w:t>红枣</w:t>
      </w:r>
      <w:r>
        <w:rPr>
          <w:rFonts w:ascii="黑体" w:hAnsi="黑体" w:eastAsia="黑体" w:cs="黑体"/>
          <w:spacing w:val="7"/>
          <w:sz w:val="31"/>
          <w:szCs w:val="31"/>
        </w:rPr>
        <w:t>制品</w:t>
      </w:r>
    </w:p>
    <w:p w14:paraId="4B52CBFA">
      <w:pPr>
        <w:pStyle w:val="2"/>
        <w:spacing w:line="260" w:lineRule="auto"/>
      </w:pPr>
    </w:p>
    <w:p w14:paraId="2A020BFD">
      <w:pPr>
        <w:pStyle w:val="2"/>
        <w:spacing w:line="261" w:lineRule="auto"/>
      </w:pPr>
    </w:p>
    <w:p w14:paraId="74C92009">
      <w:pPr>
        <w:pStyle w:val="10"/>
        <w:numPr>
          <w:ilvl w:val="1"/>
          <w:numId w:val="0"/>
        </w:numPr>
        <w:rPr>
          <w:rFonts w:ascii="黑体" w:hAnsi="黑体" w:eastAsia="黑体" w:cs="黑体"/>
          <w:spacing w:val="7"/>
          <w:sz w:val="20"/>
          <w:szCs w:val="20"/>
        </w:rPr>
      </w:pPr>
      <w:r>
        <w:rPr>
          <w:rFonts w:ascii="黑体" w:hAnsi="黑体" w:eastAsia="黑体" w:cs="黑体"/>
          <w:spacing w:val="7"/>
          <w:sz w:val="20"/>
          <w:szCs w:val="20"/>
          <w:lang w:val="en-US" w:eastAsia="zh-CN"/>
        </w:rPr>
        <w:t>1  范围</w:t>
      </w:r>
    </w:p>
    <w:p w14:paraId="1B87F1D0">
      <w:pPr>
        <w:spacing w:before="65" w:line="288" w:lineRule="auto"/>
        <w:ind w:left="2" w:firstLine="420"/>
        <w:rPr>
          <w:rFonts w:ascii="宋体" w:hAnsi="宋体" w:eastAsia="宋体" w:cs="宋体"/>
          <w:sz w:val="20"/>
          <w:szCs w:val="20"/>
        </w:rPr>
      </w:pPr>
      <w:r>
        <w:rPr>
          <w:rFonts w:ascii="宋体" w:hAnsi="宋体" w:eastAsia="宋体" w:cs="宋体"/>
          <w:spacing w:val="4"/>
          <w:sz w:val="20"/>
          <w:szCs w:val="20"/>
        </w:rPr>
        <w:t>本</w:t>
      </w:r>
      <w:r>
        <w:rPr>
          <w:rFonts w:hint="eastAsia" w:ascii="宋体" w:hAnsi="宋体" w:eastAsia="宋体" w:cs="宋体"/>
          <w:spacing w:val="4"/>
          <w:sz w:val="20"/>
          <w:szCs w:val="20"/>
          <w:lang w:val="en-US" w:eastAsia="zh-CN"/>
        </w:rPr>
        <w:t>文件</w:t>
      </w:r>
      <w:r>
        <w:rPr>
          <w:rFonts w:ascii="宋体" w:hAnsi="宋体" w:eastAsia="宋体" w:cs="宋体"/>
          <w:spacing w:val="4"/>
          <w:sz w:val="20"/>
          <w:szCs w:val="20"/>
        </w:rPr>
        <w:t>规定了</w:t>
      </w:r>
      <w:r>
        <w:rPr>
          <w:rFonts w:hint="eastAsia" w:ascii="宋体" w:hAnsi="宋体" w:eastAsia="宋体" w:cs="宋体"/>
          <w:spacing w:val="4"/>
          <w:sz w:val="20"/>
          <w:szCs w:val="20"/>
          <w:lang w:eastAsia="zh-CN"/>
        </w:rPr>
        <w:t>红枣</w:t>
      </w:r>
      <w:r>
        <w:rPr>
          <w:rFonts w:ascii="宋体" w:hAnsi="宋体" w:eastAsia="宋体" w:cs="宋体"/>
          <w:spacing w:val="4"/>
          <w:sz w:val="20"/>
          <w:szCs w:val="20"/>
        </w:rPr>
        <w:t>制品的术语和定义、技术要求、生产加工过程中的要求、检验规则、标识、包装、</w:t>
      </w:r>
      <w:r>
        <w:rPr>
          <w:rFonts w:ascii="宋体" w:hAnsi="宋体" w:eastAsia="宋体" w:cs="宋体"/>
          <w:spacing w:val="6"/>
          <w:sz w:val="20"/>
          <w:szCs w:val="20"/>
        </w:rPr>
        <w:t>贮存、运输。</w:t>
      </w:r>
    </w:p>
    <w:p w14:paraId="30083000">
      <w:pPr>
        <w:spacing w:before="65" w:line="288" w:lineRule="auto"/>
        <w:ind w:left="2" w:firstLine="420"/>
        <w:rPr>
          <w:rFonts w:ascii="宋体" w:hAnsi="宋体" w:eastAsia="宋体" w:cs="宋体"/>
          <w:spacing w:val="4"/>
          <w:sz w:val="20"/>
          <w:szCs w:val="20"/>
        </w:rPr>
      </w:pPr>
      <w:r>
        <w:rPr>
          <w:rFonts w:hint="eastAsia" w:ascii="宋体" w:hAnsi="宋体" w:eastAsia="宋体" w:cs="宋体"/>
          <w:spacing w:val="4"/>
          <w:sz w:val="20"/>
          <w:szCs w:val="20"/>
          <w:lang w:val="en-US" w:eastAsia="zh-CN"/>
        </w:rPr>
        <w:t>本文件适用于红枣制品的生产、检验和销售</w:t>
      </w:r>
      <w:r>
        <w:rPr>
          <w:rFonts w:ascii="宋体" w:hAnsi="宋体" w:eastAsia="宋体" w:cs="宋体"/>
          <w:spacing w:val="4"/>
          <w:sz w:val="20"/>
          <w:szCs w:val="20"/>
        </w:rPr>
        <w:t>。</w:t>
      </w:r>
    </w:p>
    <w:p w14:paraId="5B890557">
      <w:pPr>
        <w:pStyle w:val="10"/>
        <w:numPr>
          <w:ilvl w:val="1"/>
          <w:numId w:val="0"/>
        </w:numPr>
      </w:pPr>
      <w:r>
        <w:rPr>
          <w:rFonts w:ascii="黑体" w:hAnsi="黑体" w:eastAsia="黑体" w:cs="黑体"/>
          <w:spacing w:val="7"/>
          <w:sz w:val="20"/>
          <w:szCs w:val="20"/>
        </w:rPr>
        <w:t>2  规范性引用文件</w:t>
      </w:r>
    </w:p>
    <w:p w14:paraId="5780FD05">
      <w:pPr>
        <w:spacing w:before="66" w:line="288" w:lineRule="auto"/>
        <w:ind w:right="13" w:firstLine="428"/>
        <w:jc w:val="both"/>
        <w:rPr>
          <w:rFonts w:ascii="宋体" w:hAnsi="宋体" w:eastAsia="宋体" w:cs="宋体"/>
          <w:sz w:val="20"/>
          <w:szCs w:val="20"/>
        </w:rPr>
      </w:pPr>
      <w:r>
        <w:rPr>
          <w:rFonts w:ascii="宋体" w:hAnsi="宋体" w:eastAsia="宋体" w:cs="宋体"/>
          <w:spacing w:val="4"/>
          <w:sz w:val="20"/>
          <w:szCs w:val="20"/>
        </w:rPr>
        <w:t>下列文件中的内容通过文中的规范性引用而构成本文件必不可少的条款。其中，注日期的</w:t>
      </w:r>
      <w:r>
        <w:rPr>
          <w:rFonts w:ascii="宋体" w:hAnsi="宋体" w:eastAsia="宋体" w:cs="宋体"/>
          <w:spacing w:val="3"/>
          <w:sz w:val="20"/>
          <w:szCs w:val="20"/>
        </w:rPr>
        <w:t>引用文件，</w:t>
      </w:r>
      <w:r>
        <w:rPr>
          <w:rFonts w:ascii="宋体" w:hAnsi="宋体" w:eastAsia="宋体" w:cs="宋体"/>
          <w:spacing w:val="8"/>
          <w:sz w:val="20"/>
          <w:szCs w:val="20"/>
        </w:rPr>
        <w:t>仅该日期对应的版本适用于本文件；不注日期的引用文件，其最</w:t>
      </w:r>
      <w:r>
        <w:rPr>
          <w:rFonts w:ascii="宋体" w:hAnsi="宋体" w:eastAsia="宋体" w:cs="宋体"/>
          <w:spacing w:val="7"/>
          <w:sz w:val="20"/>
          <w:szCs w:val="20"/>
        </w:rPr>
        <w:t>新版本（包括所有的修改单）适用于本</w:t>
      </w:r>
      <w:r>
        <w:rPr>
          <w:rFonts w:ascii="宋体" w:hAnsi="宋体" w:eastAsia="宋体" w:cs="宋体"/>
          <w:spacing w:val="3"/>
          <w:sz w:val="20"/>
          <w:szCs w:val="20"/>
        </w:rPr>
        <w:t>文件。</w:t>
      </w:r>
    </w:p>
    <w:p w14:paraId="55159FEC">
      <w:pPr>
        <w:spacing w:before="64" w:line="228" w:lineRule="auto"/>
        <w:ind w:left="420"/>
        <w:rPr>
          <w:rFonts w:ascii="Times New Roman" w:hAnsi="Times New Roman" w:eastAsia="Times New Roman" w:cs="Times New Roman"/>
          <w:sz w:val="20"/>
          <w:szCs w:val="20"/>
        </w:rPr>
      </w:pPr>
      <w:r>
        <w:rPr>
          <w:rFonts w:ascii="Times New Roman" w:hAnsi="Times New Roman" w:eastAsia="Times New Roman" w:cs="Times New Roman"/>
          <w:sz w:val="20"/>
          <w:szCs w:val="20"/>
          <w:lang w:val="en-US" w:eastAsia="zh-CN"/>
        </w:rPr>
        <w:t xml:space="preserve">GB/T 191 包装储运图示标志 </w:t>
      </w:r>
      <w:r>
        <w:rPr>
          <w:rFonts w:hint="default" w:ascii="Times New Roman" w:hAnsi="Times New Roman" w:eastAsia="Times New Roman" w:cs="Times New Roman"/>
          <w:sz w:val="20"/>
          <w:szCs w:val="20"/>
          <w:lang w:val="en-US" w:eastAsia="zh-CN"/>
        </w:rPr>
        <w:t xml:space="preserve"> </w:t>
      </w:r>
    </w:p>
    <w:p w14:paraId="7E880F6E">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2760 食品安全国家标准 食品添加剂使用标准 </w:t>
      </w:r>
    </w:p>
    <w:p w14:paraId="5510357A">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2761 食品安全国家标准 食品中真菌毒素限量 </w:t>
      </w:r>
    </w:p>
    <w:p w14:paraId="4B17D714">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2762 食品安全国家标准 食品中污染物限量 </w:t>
      </w:r>
    </w:p>
    <w:p w14:paraId="0DBD262C">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2763 食品安全国家标准 食品中农药最大残留限量 </w:t>
      </w:r>
    </w:p>
    <w:p w14:paraId="556DB0BB">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4789.1 食品安全国家标准 食品微生物学检验 总则 </w:t>
      </w:r>
    </w:p>
    <w:p w14:paraId="46CE0847">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4789.2 食品安全国家标准 食品微生物学检验 菌落总数测定 </w:t>
      </w:r>
    </w:p>
    <w:p w14:paraId="1BF590C7">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4789.3 食品安全国家标准 食品微生物学检验 大肠菌群计数 </w:t>
      </w:r>
    </w:p>
    <w:p w14:paraId="30EFC89E">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5009.3 食品安全国家标准 食品中水分的测定 </w:t>
      </w:r>
    </w:p>
    <w:p w14:paraId="29C7180D">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5009.227 食品安全国家标准 食品中过氧化值的测定 </w:t>
      </w:r>
    </w:p>
    <w:p w14:paraId="15258D12">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5009.229 食品安全国家标准 食品中酸价的测定 </w:t>
      </w:r>
    </w:p>
    <w:p w14:paraId="229A159F">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GB/T 5835 干制红枣 </w:t>
      </w:r>
    </w:p>
    <w:p w14:paraId="75B99E6C">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7718 食品安全国家标准 预包装食品标签通则 </w:t>
      </w:r>
    </w:p>
    <w:p w14:paraId="0C296871">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14881 食品安全国家标准 食品生产通用卫生规范 </w:t>
      </w:r>
    </w:p>
    <w:p w14:paraId="761C18C0">
      <w:pPr>
        <w:pStyle w:val="13"/>
        <w:tabs>
          <w:tab w:val="center" w:pos="4201"/>
          <w:tab w:val="right" w:leader="dot" w:pos="9298"/>
        </w:tabs>
        <w:rPr>
          <w:rFonts w:hint="default" w:ascii="Times New Roman" w:hAnsi="Times New Roman" w:eastAsia="Times New Roman" w:cs="Times New Roman"/>
          <w:sz w:val="20"/>
          <w:szCs w:val="20"/>
          <w:lang w:val="en-US" w:eastAsia="zh-CN"/>
        </w:rPr>
      </w:pPr>
      <w:r>
        <w:rPr>
          <w:rFonts w:hint="eastAsia" w:hAnsi="宋体"/>
          <w:color w:val="000000"/>
          <w:szCs w:val="22"/>
        </w:rPr>
        <w:t xml:space="preserve">GB 14884 </w:t>
      </w:r>
      <w:r>
        <w:rPr>
          <w:rFonts w:hint="eastAsia" w:hAnsi="宋体"/>
          <w:color w:val="000000"/>
        </w:rPr>
        <w:t>食品安全国家标准 蜜饯</w:t>
      </w:r>
    </w:p>
    <w:p w14:paraId="73386028">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GB/T 18740 地理标志产品 黄骅冬枣 </w:t>
      </w:r>
    </w:p>
    <w:p w14:paraId="52C9C3CB">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19300 食品安全国家标准 坚果与籽类食品 </w:t>
      </w:r>
    </w:p>
    <w:p w14:paraId="04A75C93">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GB/T 22345 鲜枣质量等级 </w:t>
      </w:r>
    </w:p>
    <w:p w14:paraId="2D0BB72C">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28050 食品安全国家标准 预包装食品营养标签通则 </w:t>
      </w:r>
    </w:p>
    <w:p w14:paraId="51450A97">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 xml:space="preserve">GB 29921 食品安全国家标准 食品中致病菌限量 </w:t>
      </w:r>
    </w:p>
    <w:p w14:paraId="736FBA04">
      <w:pPr>
        <w:spacing w:before="65" w:line="228" w:lineRule="auto"/>
        <w:ind w:left="420"/>
        <w:rPr>
          <w:rFonts w:hint="default" w:ascii="Times New Roman" w:hAnsi="Times New Roman" w:eastAsia="Times New Roman" w:cs="Times New Roman"/>
          <w:sz w:val="20"/>
          <w:szCs w:val="20"/>
          <w:lang w:val="en-US" w:eastAsia="zh-CN"/>
        </w:rPr>
      </w:pPr>
      <w:r>
        <w:rPr>
          <w:rFonts w:ascii="Times New Roman" w:hAnsi="Times New Roman" w:eastAsia="Times New Roman" w:cs="Times New Roman"/>
          <w:sz w:val="20"/>
          <w:szCs w:val="20"/>
        </w:rPr>
        <w:t>GB</w:t>
      </w:r>
      <w:r>
        <w:rPr>
          <w:rFonts w:ascii="Times New Roman" w:hAnsi="Times New Roman" w:eastAsia="Times New Roman" w:cs="Times New Roman"/>
          <w:spacing w:val="9"/>
          <w:sz w:val="20"/>
          <w:szCs w:val="20"/>
        </w:rPr>
        <w:t xml:space="preserve"> 31607</w:t>
      </w:r>
      <w:r>
        <w:rPr>
          <w:rFonts w:ascii="宋体" w:hAnsi="宋体" w:eastAsia="宋体" w:cs="宋体"/>
          <w:spacing w:val="9"/>
          <w:sz w:val="20"/>
          <w:szCs w:val="20"/>
        </w:rPr>
        <w:t>食品安全国家标准 散装即食</w:t>
      </w:r>
      <w:r>
        <w:rPr>
          <w:rFonts w:ascii="宋体" w:hAnsi="宋体" w:eastAsia="宋体" w:cs="宋体"/>
          <w:spacing w:val="8"/>
          <w:sz w:val="20"/>
          <w:szCs w:val="20"/>
        </w:rPr>
        <w:t>食品中致病菌限量</w:t>
      </w:r>
    </w:p>
    <w:p w14:paraId="0502EAB4">
      <w:pPr>
        <w:spacing w:before="64" w:line="228" w:lineRule="auto"/>
        <w:ind w:left="420"/>
        <w:rPr>
          <w:rFonts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GB/T 32714 冬枣</w:t>
      </w:r>
    </w:p>
    <w:p w14:paraId="5617ADAE">
      <w:pPr>
        <w:spacing w:before="65" w:line="228" w:lineRule="auto"/>
        <w:ind w:left="417"/>
        <w:rPr>
          <w:rFonts w:ascii="宋体" w:hAnsi="宋体" w:eastAsia="宋体" w:cs="宋体"/>
          <w:sz w:val="20"/>
          <w:szCs w:val="20"/>
        </w:rPr>
      </w:pPr>
      <w:r>
        <w:rPr>
          <w:rFonts w:ascii="Times New Roman" w:hAnsi="Times New Roman" w:eastAsia="Times New Roman" w:cs="Times New Roman"/>
          <w:sz w:val="20"/>
          <w:szCs w:val="20"/>
        </w:rPr>
        <w:t>JJF</w:t>
      </w:r>
      <w:r>
        <w:rPr>
          <w:rFonts w:ascii="Times New Roman" w:hAnsi="Times New Roman" w:eastAsia="Times New Roman" w:cs="Times New Roman"/>
          <w:spacing w:val="36"/>
          <w:sz w:val="20"/>
          <w:szCs w:val="20"/>
        </w:rPr>
        <w:t xml:space="preserve"> </w:t>
      </w:r>
      <w:r>
        <w:rPr>
          <w:rFonts w:ascii="Times New Roman" w:hAnsi="Times New Roman" w:eastAsia="Times New Roman" w:cs="Times New Roman"/>
          <w:spacing w:val="7"/>
          <w:sz w:val="20"/>
          <w:szCs w:val="20"/>
        </w:rPr>
        <w:t xml:space="preserve">1070  </w:t>
      </w:r>
      <w:r>
        <w:rPr>
          <w:rFonts w:ascii="宋体" w:hAnsi="宋体" w:eastAsia="宋体" w:cs="宋体"/>
          <w:spacing w:val="7"/>
          <w:sz w:val="20"/>
          <w:szCs w:val="20"/>
        </w:rPr>
        <w:t>定量包装商品净含量计量检验规则</w:t>
      </w:r>
    </w:p>
    <w:p w14:paraId="034DC5F2">
      <w:pPr>
        <w:spacing w:before="66" w:line="227" w:lineRule="auto"/>
        <w:ind w:left="442"/>
      </w:pPr>
      <w:r>
        <w:rPr>
          <w:rFonts w:ascii="宋体" w:hAnsi="宋体" w:eastAsia="宋体" w:cs="宋体"/>
          <w:spacing w:val="8"/>
          <w:sz w:val="20"/>
          <w:szCs w:val="20"/>
        </w:rPr>
        <w:t>国家市场监督管理总局令第</w:t>
      </w:r>
      <w:r>
        <w:rPr>
          <w:rFonts w:ascii="Times New Roman" w:hAnsi="Times New Roman" w:eastAsia="Times New Roman" w:cs="Times New Roman"/>
          <w:spacing w:val="8"/>
          <w:sz w:val="20"/>
          <w:szCs w:val="20"/>
        </w:rPr>
        <w:t>70</w:t>
      </w:r>
      <w:r>
        <w:rPr>
          <w:rFonts w:ascii="宋体" w:hAnsi="宋体" w:eastAsia="宋体" w:cs="宋体"/>
          <w:spacing w:val="8"/>
          <w:sz w:val="20"/>
          <w:szCs w:val="20"/>
        </w:rPr>
        <w:t>号《定量包装商品计量监督管理办法》</w:t>
      </w:r>
    </w:p>
    <w:p w14:paraId="6F37C2A7">
      <w:pPr>
        <w:pStyle w:val="10"/>
        <w:numPr>
          <w:ilvl w:val="1"/>
          <w:numId w:val="0"/>
        </w:numPr>
        <w:rPr>
          <w:rFonts w:hint="eastAsia"/>
          <w:lang w:val="en-US" w:eastAsia="zh-CN"/>
        </w:rPr>
      </w:pPr>
      <w:r>
        <w:rPr>
          <w:rFonts w:hint="eastAsia"/>
          <w:lang w:val="en-US" w:eastAsia="zh-CN"/>
        </w:rPr>
        <w:t>3  术语和定义</w:t>
      </w:r>
    </w:p>
    <w:p w14:paraId="0772F2AD">
      <w:pPr>
        <w:spacing w:before="65" w:line="231" w:lineRule="auto"/>
        <w:outlineLvl w:val="2"/>
        <w:rPr>
          <w:rFonts w:hint="eastAsia" w:ascii="黑体" w:hAnsi="黑体" w:eastAsia="黑体" w:cs="黑体"/>
          <w:spacing w:val="13"/>
          <w:sz w:val="20"/>
          <w:szCs w:val="20"/>
          <w:lang w:val="en-US" w:eastAsia="zh-CN"/>
        </w:rPr>
      </w:pPr>
      <w:r>
        <w:rPr>
          <w:rFonts w:ascii="黑体" w:hAnsi="黑体" w:eastAsia="黑体" w:cs="黑体"/>
          <w:spacing w:val="4"/>
          <w:sz w:val="20"/>
          <w:szCs w:val="20"/>
        </w:rPr>
        <w:t>3.1</w:t>
      </w:r>
      <w:r>
        <w:rPr>
          <w:rFonts w:ascii="黑体" w:hAnsi="黑体" w:eastAsia="黑体" w:cs="黑体"/>
          <w:spacing w:val="13"/>
          <w:sz w:val="20"/>
          <w:szCs w:val="20"/>
        </w:rPr>
        <w:t xml:space="preserve">  </w:t>
      </w:r>
      <w:r>
        <w:rPr>
          <w:rFonts w:hint="eastAsia" w:ascii="黑体" w:hAnsi="黑体" w:eastAsia="黑体" w:cs="黑体"/>
          <w:spacing w:val="13"/>
          <w:sz w:val="20"/>
          <w:szCs w:val="20"/>
          <w:lang w:val="en-US" w:eastAsia="zh-CN"/>
        </w:rPr>
        <w:t>红枣制品</w:t>
      </w:r>
    </w:p>
    <w:p w14:paraId="186CD6DF">
      <w:pPr>
        <w:keepNext w:val="0"/>
        <w:keepLines w:val="0"/>
        <w:pageBreakBefore w:val="0"/>
        <w:widowControl/>
        <w:kinsoku w:val="0"/>
        <w:wordWrap/>
        <w:overflowPunct/>
        <w:topLinePunct w:val="0"/>
        <w:autoSpaceDE w:val="0"/>
        <w:autoSpaceDN w:val="0"/>
        <w:bidi w:val="0"/>
        <w:adjustRightInd w:val="0"/>
        <w:snapToGrid w:val="0"/>
        <w:spacing w:before="219" w:line="360" w:lineRule="auto"/>
        <w:ind w:left="126" w:firstLine="443"/>
        <w:textAlignment w:val="baseline"/>
        <w:rPr>
          <w:rFonts w:hint="default" w:ascii="宋体" w:hAnsi="宋体" w:eastAsia="宋体" w:cs="宋体"/>
          <w:spacing w:val="-1"/>
          <w:sz w:val="20"/>
          <w:szCs w:val="20"/>
          <w:lang w:val="en-US" w:eastAsia="zh-CN"/>
        </w:rPr>
      </w:pPr>
      <w:r>
        <w:rPr>
          <w:rFonts w:ascii="宋体" w:hAnsi="宋体" w:eastAsia="宋体" w:cs="宋体"/>
          <w:spacing w:val="-1"/>
          <w:sz w:val="20"/>
          <w:szCs w:val="20"/>
        </w:rPr>
        <w:t>以</w:t>
      </w:r>
      <w:r>
        <w:rPr>
          <w:rFonts w:hint="eastAsia" w:ascii="宋体" w:hAnsi="宋体" w:eastAsia="宋体" w:cs="宋体"/>
          <w:spacing w:val="-1"/>
          <w:sz w:val="20"/>
          <w:szCs w:val="20"/>
          <w:lang w:val="en-US" w:eastAsia="zh-CN"/>
        </w:rPr>
        <w:t>干制</w:t>
      </w:r>
      <w:r>
        <w:rPr>
          <w:rFonts w:hint="eastAsia" w:ascii="宋体" w:hAnsi="宋体" w:eastAsia="宋体" w:cs="宋体"/>
          <w:spacing w:val="-1"/>
          <w:sz w:val="20"/>
          <w:szCs w:val="20"/>
          <w:lang w:eastAsia="zh-CN"/>
        </w:rPr>
        <w:t>红枣</w:t>
      </w:r>
      <w:r>
        <w:rPr>
          <w:rFonts w:hint="eastAsia" w:ascii="宋体" w:hAnsi="宋体" w:eastAsia="宋体" w:cs="宋体"/>
          <w:spacing w:val="-1"/>
          <w:sz w:val="20"/>
          <w:szCs w:val="20"/>
          <w:lang w:val="en-US" w:eastAsia="zh-CN"/>
        </w:rPr>
        <w:t>或鲜枣</w:t>
      </w:r>
      <w:r>
        <w:rPr>
          <w:rFonts w:ascii="宋体" w:hAnsi="宋体" w:eastAsia="宋体" w:cs="宋体"/>
          <w:spacing w:val="-1"/>
          <w:sz w:val="20"/>
          <w:szCs w:val="20"/>
        </w:rPr>
        <w:t>为主要原料</w:t>
      </w:r>
      <w:r>
        <w:rPr>
          <w:rFonts w:hint="eastAsia" w:ascii="宋体" w:hAnsi="宋体" w:eastAsia="宋体" w:cs="宋体"/>
          <w:spacing w:val="-1"/>
          <w:sz w:val="20"/>
          <w:szCs w:val="20"/>
          <w:lang w:eastAsia="zh-CN"/>
        </w:rPr>
        <w:t>，</w:t>
      </w:r>
      <w:r>
        <w:rPr>
          <w:rFonts w:hint="eastAsia" w:ascii="宋体" w:hAnsi="宋体" w:eastAsia="宋体" w:cs="宋体"/>
          <w:spacing w:val="-1"/>
          <w:sz w:val="20"/>
          <w:szCs w:val="20"/>
          <w:lang w:val="en-US" w:eastAsia="zh-CN"/>
        </w:rPr>
        <w:t>经加工制成的可直接食用的产品。</w:t>
      </w:r>
    </w:p>
    <w:p w14:paraId="422771DC">
      <w:pPr>
        <w:keepNext w:val="0"/>
        <w:keepLines w:val="0"/>
        <w:pageBreakBefore w:val="0"/>
        <w:widowControl/>
        <w:kinsoku w:val="0"/>
        <w:wordWrap/>
        <w:overflowPunct/>
        <w:topLinePunct w:val="0"/>
        <w:autoSpaceDE w:val="0"/>
        <w:autoSpaceDN w:val="0"/>
        <w:bidi w:val="0"/>
        <w:adjustRightInd w:val="0"/>
        <w:snapToGrid w:val="0"/>
        <w:spacing w:before="65" w:line="360" w:lineRule="auto"/>
        <w:ind w:left="1"/>
        <w:textAlignment w:val="baseline"/>
        <w:outlineLvl w:val="2"/>
        <w:rPr>
          <w:rFonts w:hint="eastAsia" w:ascii="黑体" w:hAnsi="黑体" w:eastAsia="黑体" w:cs="黑体"/>
          <w:sz w:val="20"/>
          <w:szCs w:val="20"/>
          <w:lang w:eastAsia="zh-CN"/>
        </w:rPr>
      </w:pPr>
      <w:r>
        <w:rPr>
          <w:rFonts w:ascii="黑体" w:hAnsi="黑体" w:eastAsia="黑体" w:cs="黑体"/>
          <w:spacing w:val="4"/>
          <w:sz w:val="20"/>
          <w:szCs w:val="20"/>
        </w:rPr>
        <w:t>3.1</w:t>
      </w:r>
      <w:r>
        <w:rPr>
          <w:rFonts w:hint="eastAsia" w:ascii="黑体" w:hAnsi="黑体" w:eastAsia="黑体" w:cs="黑体"/>
          <w:spacing w:val="4"/>
          <w:sz w:val="20"/>
          <w:szCs w:val="20"/>
          <w:lang w:val="en-US" w:eastAsia="zh-CN"/>
        </w:rPr>
        <w:t>.1</w:t>
      </w:r>
      <w:r>
        <w:rPr>
          <w:rFonts w:ascii="黑体" w:hAnsi="黑体" w:eastAsia="黑体" w:cs="黑体"/>
          <w:spacing w:val="13"/>
          <w:sz w:val="20"/>
          <w:szCs w:val="20"/>
        </w:rPr>
        <w:t xml:space="preserve"> </w:t>
      </w:r>
      <w:r>
        <w:rPr>
          <w:rFonts w:ascii="黑体" w:hAnsi="黑体" w:eastAsia="黑体" w:cs="黑体"/>
          <w:spacing w:val="4"/>
          <w:sz w:val="20"/>
          <w:szCs w:val="20"/>
        </w:rPr>
        <w:t>即食</w:t>
      </w:r>
      <w:r>
        <w:rPr>
          <w:rFonts w:hint="eastAsia" w:ascii="黑体" w:hAnsi="黑体" w:eastAsia="黑体" w:cs="黑体"/>
          <w:spacing w:val="4"/>
          <w:sz w:val="20"/>
          <w:szCs w:val="20"/>
          <w:lang w:eastAsia="zh-CN"/>
        </w:rPr>
        <w:t>红枣</w:t>
      </w:r>
    </w:p>
    <w:p w14:paraId="057E1F5C">
      <w:pPr>
        <w:keepNext w:val="0"/>
        <w:keepLines w:val="0"/>
        <w:pageBreakBefore w:val="0"/>
        <w:widowControl/>
        <w:kinsoku w:val="0"/>
        <w:wordWrap/>
        <w:overflowPunct/>
        <w:topLinePunct w:val="0"/>
        <w:autoSpaceDE w:val="0"/>
        <w:autoSpaceDN w:val="0"/>
        <w:bidi w:val="0"/>
        <w:adjustRightInd w:val="0"/>
        <w:snapToGrid w:val="0"/>
        <w:spacing w:before="219" w:line="360" w:lineRule="auto"/>
        <w:ind w:left="126" w:firstLine="443"/>
        <w:textAlignment w:val="baseline"/>
        <w:rPr>
          <w:rFonts w:ascii="宋体" w:hAnsi="宋体" w:eastAsia="宋体" w:cs="宋体"/>
          <w:spacing w:val="-1"/>
          <w:sz w:val="20"/>
          <w:szCs w:val="20"/>
        </w:rPr>
      </w:pPr>
      <w:r>
        <w:rPr>
          <w:rFonts w:ascii="宋体" w:hAnsi="宋体" w:eastAsia="宋体" w:cs="宋体"/>
          <w:spacing w:val="-1"/>
          <w:sz w:val="20"/>
          <w:szCs w:val="20"/>
        </w:rPr>
        <w:t>以</w:t>
      </w:r>
      <w:r>
        <w:rPr>
          <w:rFonts w:hint="eastAsia" w:ascii="宋体" w:hAnsi="宋体" w:eastAsia="宋体" w:cs="宋体"/>
          <w:spacing w:val="-1"/>
          <w:sz w:val="20"/>
          <w:szCs w:val="20"/>
          <w:lang w:val="en-US" w:eastAsia="zh-CN"/>
        </w:rPr>
        <w:t>干制</w:t>
      </w:r>
      <w:r>
        <w:rPr>
          <w:rFonts w:hint="eastAsia" w:ascii="宋体" w:hAnsi="宋体" w:eastAsia="宋体" w:cs="宋体"/>
          <w:spacing w:val="-1"/>
          <w:sz w:val="20"/>
          <w:szCs w:val="20"/>
          <w:lang w:eastAsia="zh-CN"/>
        </w:rPr>
        <w:t>红枣</w:t>
      </w:r>
      <w:r>
        <w:rPr>
          <w:rFonts w:hint="eastAsia" w:ascii="宋体" w:hAnsi="宋体" w:eastAsia="宋体" w:cs="宋体"/>
          <w:spacing w:val="-1"/>
          <w:sz w:val="20"/>
          <w:szCs w:val="20"/>
          <w:lang w:val="en-US" w:eastAsia="zh-CN"/>
        </w:rPr>
        <w:t>或鲜枣</w:t>
      </w:r>
      <w:r>
        <w:rPr>
          <w:rFonts w:ascii="宋体" w:hAnsi="宋体" w:eastAsia="宋体" w:cs="宋体"/>
          <w:spacing w:val="-1"/>
          <w:sz w:val="20"/>
          <w:szCs w:val="20"/>
        </w:rPr>
        <w:t>为</w:t>
      </w:r>
      <w:r>
        <w:rPr>
          <w:rFonts w:hint="eastAsia" w:ascii="宋体" w:hAnsi="宋体" w:eastAsia="宋体" w:cs="宋体"/>
          <w:spacing w:val="-1"/>
          <w:sz w:val="20"/>
          <w:szCs w:val="20"/>
          <w:lang w:val="en-US" w:eastAsia="zh-CN"/>
        </w:rPr>
        <w:t>主要</w:t>
      </w:r>
      <w:r>
        <w:rPr>
          <w:rFonts w:ascii="宋体" w:hAnsi="宋体" w:eastAsia="宋体" w:cs="宋体"/>
          <w:spacing w:val="-1"/>
          <w:sz w:val="20"/>
          <w:szCs w:val="20"/>
        </w:rPr>
        <w:t>原料，经</w:t>
      </w:r>
      <w:r>
        <w:rPr>
          <w:rFonts w:hint="eastAsia" w:ascii="宋体" w:hAnsi="宋体" w:eastAsia="宋体" w:cs="宋体"/>
          <w:spacing w:val="-1"/>
          <w:sz w:val="20"/>
          <w:szCs w:val="20"/>
          <w:lang w:val="en-US" w:eastAsia="zh-CN"/>
        </w:rPr>
        <w:t>清洗或不清洗、</w:t>
      </w:r>
      <w:r>
        <w:rPr>
          <w:rFonts w:ascii="宋体" w:hAnsi="宋体" w:eastAsia="宋体" w:cs="宋体"/>
          <w:spacing w:val="-1"/>
          <w:sz w:val="20"/>
          <w:szCs w:val="20"/>
        </w:rPr>
        <w:t>去核或不去核、</w:t>
      </w:r>
      <w:r>
        <w:rPr>
          <w:rFonts w:hint="eastAsia" w:ascii="宋体" w:hAnsi="宋体" w:eastAsia="宋体" w:cs="宋体"/>
          <w:spacing w:val="-1"/>
          <w:sz w:val="20"/>
          <w:szCs w:val="20"/>
          <w:lang w:val="en-US" w:eastAsia="zh-CN"/>
        </w:rPr>
        <w:t>切或不切、</w:t>
      </w:r>
      <w:r>
        <w:rPr>
          <w:rFonts w:ascii="宋体" w:hAnsi="宋体" w:eastAsia="宋体" w:cs="宋体"/>
          <w:spacing w:val="-1"/>
          <w:sz w:val="20"/>
          <w:szCs w:val="20"/>
        </w:rPr>
        <w:t>干燥</w:t>
      </w:r>
      <w:r>
        <w:rPr>
          <w:rFonts w:hint="eastAsia" w:ascii="宋体" w:hAnsi="宋体" w:eastAsia="宋体" w:cs="宋体"/>
          <w:spacing w:val="-1"/>
          <w:sz w:val="20"/>
          <w:szCs w:val="20"/>
          <w:lang w:eastAsia="zh-CN"/>
        </w:rPr>
        <w:t>、</w:t>
      </w:r>
      <w:r>
        <w:rPr>
          <w:rFonts w:hint="eastAsia" w:ascii="宋体" w:hAnsi="宋体" w:eastAsia="宋体" w:cs="宋体"/>
          <w:spacing w:val="-1"/>
          <w:sz w:val="20"/>
          <w:szCs w:val="20"/>
          <w:lang w:val="en-US" w:eastAsia="zh-CN"/>
        </w:rPr>
        <w:t>杀菌或不杀菌、</w:t>
      </w:r>
      <w:r>
        <w:rPr>
          <w:rFonts w:ascii="宋体" w:hAnsi="宋体" w:eastAsia="宋体" w:cs="宋体"/>
          <w:spacing w:val="-1"/>
          <w:sz w:val="20"/>
          <w:szCs w:val="20"/>
        </w:rPr>
        <w:t>包装等工艺制成的</w:t>
      </w:r>
      <w:r>
        <w:rPr>
          <w:rFonts w:hint="eastAsia" w:ascii="宋体" w:hAnsi="宋体" w:eastAsia="宋体" w:cs="宋体"/>
          <w:spacing w:val="-1"/>
          <w:sz w:val="20"/>
          <w:szCs w:val="20"/>
          <w:lang w:val="en-US" w:eastAsia="zh-CN"/>
        </w:rPr>
        <w:t>即食红枣</w:t>
      </w:r>
      <w:r>
        <w:rPr>
          <w:rFonts w:ascii="宋体" w:hAnsi="宋体" w:eastAsia="宋体" w:cs="宋体"/>
          <w:spacing w:val="-1"/>
          <w:sz w:val="20"/>
          <w:szCs w:val="20"/>
        </w:rPr>
        <w:t>。</w:t>
      </w:r>
    </w:p>
    <w:p w14:paraId="37CF0EE3">
      <w:pPr>
        <w:spacing w:before="246" w:line="231" w:lineRule="auto"/>
        <w:ind w:left="126"/>
        <w:outlineLvl w:val="2"/>
        <w:rPr>
          <w:rFonts w:hint="eastAsia" w:ascii="宋体" w:hAnsi="宋体" w:eastAsia="黑体" w:cs="宋体"/>
          <w:spacing w:val="-1"/>
          <w:sz w:val="20"/>
          <w:szCs w:val="20"/>
          <w:lang w:eastAsia="zh-CN"/>
        </w:rPr>
      </w:pPr>
      <w:r>
        <w:rPr>
          <w:rFonts w:ascii="黑体" w:hAnsi="黑体" w:eastAsia="黑体" w:cs="黑体"/>
          <w:spacing w:val="7"/>
          <w:sz w:val="20"/>
          <w:szCs w:val="20"/>
        </w:rPr>
        <w:t>3.</w:t>
      </w:r>
      <w:r>
        <w:rPr>
          <w:rFonts w:hint="eastAsia" w:ascii="黑体" w:hAnsi="黑体" w:eastAsia="黑体" w:cs="黑体"/>
          <w:spacing w:val="7"/>
          <w:sz w:val="20"/>
          <w:szCs w:val="20"/>
          <w:lang w:val="en-US" w:eastAsia="zh-CN"/>
        </w:rPr>
        <w:t>1.2</w:t>
      </w:r>
      <w:r>
        <w:rPr>
          <w:rFonts w:ascii="黑体" w:hAnsi="黑体" w:eastAsia="黑体" w:cs="黑体"/>
          <w:spacing w:val="7"/>
          <w:sz w:val="20"/>
          <w:szCs w:val="20"/>
        </w:rPr>
        <w:t xml:space="preserve"> </w:t>
      </w:r>
      <w:r>
        <w:rPr>
          <w:rFonts w:ascii="黑体" w:hAnsi="黑体" w:eastAsia="黑体" w:cs="黑体"/>
          <w:spacing w:val="13"/>
          <w:sz w:val="20"/>
          <w:szCs w:val="20"/>
        </w:rPr>
        <w:t xml:space="preserve"> 夹心</w:t>
      </w:r>
      <w:r>
        <w:rPr>
          <w:rFonts w:hint="eastAsia" w:ascii="黑体" w:hAnsi="黑体" w:eastAsia="黑体" w:cs="黑体"/>
          <w:spacing w:val="13"/>
          <w:sz w:val="20"/>
          <w:szCs w:val="20"/>
          <w:lang w:eastAsia="zh-CN"/>
        </w:rPr>
        <w:t>（</w:t>
      </w:r>
      <w:r>
        <w:rPr>
          <w:rFonts w:hint="eastAsia" w:ascii="黑体" w:hAnsi="黑体" w:eastAsia="黑体" w:cs="黑体"/>
          <w:spacing w:val="13"/>
          <w:sz w:val="20"/>
          <w:szCs w:val="20"/>
          <w:lang w:val="en-US" w:eastAsia="zh-CN"/>
        </w:rPr>
        <w:t>裹衣</w:t>
      </w:r>
      <w:r>
        <w:rPr>
          <w:rFonts w:hint="eastAsia" w:ascii="黑体" w:hAnsi="黑体" w:eastAsia="黑体" w:cs="黑体"/>
          <w:spacing w:val="13"/>
          <w:sz w:val="20"/>
          <w:szCs w:val="20"/>
          <w:lang w:eastAsia="zh-CN"/>
        </w:rPr>
        <w:t>）红枣</w:t>
      </w:r>
    </w:p>
    <w:p w14:paraId="068850B2">
      <w:pPr>
        <w:keepNext w:val="0"/>
        <w:keepLines w:val="0"/>
        <w:pageBreakBefore w:val="0"/>
        <w:widowControl/>
        <w:kinsoku w:val="0"/>
        <w:wordWrap/>
        <w:overflowPunct/>
        <w:topLinePunct w:val="0"/>
        <w:autoSpaceDE w:val="0"/>
        <w:autoSpaceDN w:val="0"/>
        <w:bidi w:val="0"/>
        <w:adjustRightInd w:val="0"/>
        <w:snapToGrid w:val="0"/>
        <w:spacing w:before="219" w:line="360" w:lineRule="auto"/>
        <w:ind w:left="126" w:firstLine="443"/>
        <w:textAlignment w:val="baseline"/>
        <w:rPr>
          <w:rFonts w:ascii="宋体" w:hAnsi="宋体" w:eastAsia="宋体" w:cs="宋体"/>
          <w:spacing w:val="8"/>
          <w:sz w:val="20"/>
          <w:szCs w:val="20"/>
        </w:rPr>
      </w:pPr>
      <w:r>
        <w:rPr>
          <w:rFonts w:ascii="宋体" w:hAnsi="宋体" w:eastAsia="宋体" w:cs="宋体"/>
          <w:spacing w:val="-1"/>
          <w:sz w:val="20"/>
          <w:szCs w:val="20"/>
        </w:rPr>
        <w:t>以</w:t>
      </w:r>
      <w:r>
        <w:rPr>
          <w:rFonts w:hint="eastAsia" w:ascii="宋体" w:hAnsi="宋体" w:eastAsia="宋体" w:cs="宋体"/>
          <w:spacing w:val="-1"/>
          <w:sz w:val="20"/>
          <w:szCs w:val="20"/>
          <w:lang w:val="en-US" w:eastAsia="zh-CN"/>
        </w:rPr>
        <w:t>即食红枣或干制</w:t>
      </w:r>
      <w:r>
        <w:rPr>
          <w:rFonts w:hint="eastAsia" w:ascii="宋体" w:hAnsi="宋体" w:eastAsia="宋体" w:cs="宋体"/>
          <w:spacing w:val="-1"/>
          <w:sz w:val="20"/>
          <w:szCs w:val="20"/>
          <w:lang w:eastAsia="zh-CN"/>
        </w:rPr>
        <w:t>红枣</w:t>
      </w:r>
      <w:r>
        <w:rPr>
          <w:rFonts w:ascii="宋体" w:hAnsi="宋体" w:eastAsia="宋体" w:cs="宋体"/>
          <w:spacing w:val="-1"/>
          <w:sz w:val="20"/>
          <w:szCs w:val="20"/>
        </w:rPr>
        <w:t>为主要原料，经</w:t>
      </w:r>
      <w:r>
        <w:rPr>
          <w:rFonts w:hint="eastAsia" w:ascii="宋体" w:hAnsi="宋体" w:eastAsia="宋体" w:cs="宋体"/>
          <w:spacing w:val="-1"/>
          <w:sz w:val="20"/>
          <w:szCs w:val="20"/>
          <w:lang w:val="en-US" w:eastAsia="zh-CN"/>
        </w:rPr>
        <w:t>清洗或不清洗、</w:t>
      </w:r>
      <w:r>
        <w:rPr>
          <w:rFonts w:ascii="宋体" w:hAnsi="宋体" w:eastAsia="宋体" w:cs="宋体"/>
          <w:spacing w:val="-1"/>
          <w:sz w:val="20"/>
          <w:szCs w:val="20"/>
        </w:rPr>
        <w:t>去核或不去核</w:t>
      </w:r>
      <w:r>
        <w:rPr>
          <w:rFonts w:hint="eastAsia" w:ascii="宋体" w:hAnsi="宋体" w:eastAsia="宋体" w:cs="宋体"/>
          <w:spacing w:val="-1"/>
          <w:sz w:val="20"/>
          <w:szCs w:val="20"/>
          <w:lang w:eastAsia="zh-CN"/>
        </w:rPr>
        <w:t>、</w:t>
      </w:r>
      <w:r>
        <w:rPr>
          <w:rFonts w:hint="eastAsia" w:ascii="宋体" w:hAnsi="宋体" w:eastAsia="宋体" w:cs="宋体"/>
          <w:spacing w:val="-1"/>
          <w:sz w:val="20"/>
          <w:szCs w:val="20"/>
          <w:lang w:val="en-US" w:eastAsia="zh-CN"/>
        </w:rPr>
        <w:t>添加</w:t>
      </w:r>
      <w:r>
        <w:rPr>
          <w:rFonts w:ascii="宋体" w:hAnsi="宋体" w:eastAsia="宋体" w:cs="宋体"/>
          <w:spacing w:val="-1"/>
          <w:sz w:val="20"/>
          <w:szCs w:val="20"/>
        </w:rPr>
        <w:t>坚果籽仁、蜜饯、</w:t>
      </w:r>
      <w:r>
        <w:rPr>
          <w:rFonts w:hint="eastAsia" w:ascii="宋体" w:hAnsi="宋体" w:eastAsia="宋体" w:cs="宋体"/>
          <w:spacing w:val="-1"/>
          <w:sz w:val="20"/>
          <w:szCs w:val="20"/>
          <w:lang w:val="en-US" w:eastAsia="zh-CN"/>
        </w:rPr>
        <w:t>糖等辅料中的一种或几种、经裹衣或夹心、干燥或不干燥、杀</w:t>
      </w:r>
      <w:r>
        <w:rPr>
          <w:rFonts w:ascii="宋体" w:hAnsi="宋体" w:eastAsia="宋体" w:cs="宋体"/>
          <w:spacing w:val="-1"/>
          <w:sz w:val="20"/>
          <w:szCs w:val="20"/>
        </w:rPr>
        <w:t>菌或</w:t>
      </w:r>
      <w:r>
        <w:rPr>
          <w:rFonts w:hint="eastAsia" w:ascii="宋体" w:hAnsi="宋体" w:eastAsia="宋体" w:cs="宋体"/>
          <w:spacing w:val="-1"/>
          <w:sz w:val="20"/>
          <w:szCs w:val="20"/>
          <w:lang w:val="en-US" w:eastAsia="zh-CN"/>
        </w:rPr>
        <w:t>不杀菌</w:t>
      </w:r>
      <w:r>
        <w:rPr>
          <w:rFonts w:ascii="宋体" w:hAnsi="宋体" w:eastAsia="宋体" w:cs="宋体"/>
          <w:spacing w:val="-1"/>
          <w:sz w:val="20"/>
          <w:szCs w:val="20"/>
        </w:rPr>
        <w:t>、</w:t>
      </w:r>
      <w:r>
        <w:rPr>
          <w:rFonts w:ascii="宋体" w:hAnsi="宋体" w:eastAsia="宋体" w:cs="宋体"/>
          <w:spacing w:val="8"/>
          <w:sz w:val="20"/>
          <w:szCs w:val="20"/>
        </w:rPr>
        <w:t>包装等工艺制成的夹心</w:t>
      </w:r>
      <w:r>
        <w:rPr>
          <w:rFonts w:hint="eastAsia" w:ascii="宋体" w:hAnsi="宋体" w:eastAsia="宋体" w:cs="宋体"/>
          <w:spacing w:val="8"/>
          <w:sz w:val="20"/>
          <w:szCs w:val="20"/>
          <w:lang w:eastAsia="zh-CN"/>
        </w:rPr>
        <w:t>（</w:t>
      </w:r>
      <w:r>
        <w:rPr>
          <w:rFonts w:hint="eastAsia" w:ascii="宋体" w:hAnsi="宋体" w:eastAsia="宋体" w:cs="宋体"/>
          <w:spacing w:val="8"/>
          <w:sz w:val="20"/>
          <w:szCs w:val="20"/>
          <w:lang w:val="en-US" w:eastAsia="zh-CN"/>
        </w:rPr>
        <w:t>裹衣</w:t>
      </w:r>
      <w:r>
        <w:rPr>
          <w:rFonts w:hint="eastAsia" w:ascii="宋体" w:hAnsi="宋体" w:eastAsia="宋体" w:cs="宋体"/>
          <w:spacing w:val="8"/>
          <w:sz w:val="20"/>
          <w:szCs w:val="20"/>
          <w:lang w:eastAsia="zh-CN"/>
        </w:rPr>
        <w:t>）红枣</w:t>
      </w:r>
      <w:r>
        <w:rPr>
          <w:rFonts w:ascii="宋体" w:hAnsi="宋体" w:eastAsia="宋体" w:cs="宋体"/>
          <w:spacing w:val="8"/>
          <w:sz w:val="20"/>
          <w:szCs w:val="20"/>
        </w:rPr>
        <w:t>。</w:t>
      </w:r>
    </w:p>
    <w:p w14:paraId="75FB3C69">
      <w:pPr>
        <w:spacing w:before="246" w:line="231" w:lineRule="auto"/>
        <w:ind w:left="126"/>
        <w:outlineLvl w:val="2"/>
        <w:rPr>
          <w:rFonts w:hint="eastAsia" w:ascii="黑体" w:hAnsi="黑体" w:eastAsia="黑体" w:cs="黑体"/>
          <w:spacing w:val="7"/>
          <w:sz w:val="20"/>
          <w:szCs w:val="20"/>
          <w:lang w:eastAsia="zh-CN"/>
        </w:rPr>
      </w:pPr>
      <w:r>
        <w:rPr>
          <w:rFonts w:ascii="黑体" w:hAnsi="黑体" w:eastAsia="黑体" w:cs="黑体"/>
          <w:spacing w:val="7"/>
          <w:sz w:val="20"/>
          <w:szCs w:val="20"/>
        </w:rPr>
        <w:t>3.</w:t>
      </w:r>
      <w:r>
        <w:rPr>
          <w:rFonts w:hint="eastAsia" w:ascii="黑体" w:hAnsi="黑体" w:eastAsia="黑体" w:cs="黑体"/>
          <w:spacing w:val="7"/>
          <w:sz w:val="20"/>
          <w:szCs w:val="20"/>
          <w:lang w:val="en-US" w:eastAsia="zh-CN"/>
        </w:rPr>
        <w:t>1.3</w:t>
      </w:r>
      <w:r>
        <w:rPr>
          <w:rFonts w:ascii="黑体" w:hAnsi="黑体" w:eastAsia="黑体" w:cs="黑体"/>
          <w:spacing w:val="7"/>
          <w:sz w:val="20"/>
          <w:szCs w:val="20"/>
        </w:rPr>
        <w:t xml:space="preserve">  </w:t>
      </w:r>
      <w:r>
        <w:rPr>
          <w:rFonts w:hint="eastAsia" w:ascii="黑体" w:hAnsi="黑体" w:eastAsia="黑体" w:cs="黑体"/>
          <w:spacing w:val="7"/>
          <w:sz w:val="20"/>
          <w:szCs w:val="20"/>
          <w:lang w:val="en-US" w:eastAsia="zh-CN"/>
        </w:rPr>
        <w:t>酥脆</w:t>
      </w:r>
      <w:r>
        <w:rPr>
          <w:rFonts w:hint="eastAsia" w:ascii="黑体" w:hAnsi="黑体" w:eastAsia="黑体" w:cs="黑体"/>
          <w:spacing w:val="7"/>
          <w:sz w:val="20"/>
          <w:szCs w:val="20"/>
          <w:lang w:eastAsia="zh-CN"/>
        </w:rPr>
        <w:t>红枣（</w:t>
      </w:r>
      <w:r>
        <w:rPr>
          <w:rFonts w:hint="eastAsia" w:ascii="黑体" w:hAnsi="黑体" w:eastAsia="黑体" w:cs="黑体"/>
          <w:spacing w:val="7"/>
          <w:sz w:val="20"/>
          <w:szCs w:val="20"/>
          <w:lang w:val="en-US" w:eastAsia="zh-CN"/>
        </w:rPr>
        <w:t>冬枣</w:t>
      </w:r>
      <w:r>
        <w:rPr>
          <w:rFonts w:hint="eastAsia" w:ascii="黑体" w:hAnsi="黑体" w:eastAsia="黑体" w:cs="黑体"/>
          <w:spacing w:val="7"/>
          <w:sz w:val="20"/>
          <w:szCs w:val="20"/>
          <w:lang w:eastAsia="zh-CN"/>
        </w:rPr>
        <w:t>）</w:t>
      </w:r>
    </w:p>
    <w:p w14:paraId="7D9A7781">
      <w:pPr>
        <w:keepNext w:val="0"/>
        <w:keepLines w:val="0"/>
        <w:pageBreakBefore w:val="0"/>
        <w:widowControl/>
        <w:kinsoku w:val="0"/>
        <w:wordWrap/>
        <w:overflowPunct/>
        <w:topLinePunct w:val="0"/>
        <w:autoSpaceDE w:val="0"/>
        <w:autoSpaceDN w:val="0"/>
        <w:bidi w:val="0"/>
        <w:adjustRightInd w:val="0"/>
        <w:snapToGrid w:val="0"/>
        <w:spacing w:before="219" w:line="360" w:lineRule="auto"/>
        <w:ind w:left="126" w:firstLine="443"/>
        <w:textAlignment w:val="baseline"/>
        <w:rPr>
          <w:rFonts w:hint="eastAsia" w:ascii="宋体" w:hAnsi="宋体" w:eastAsia="宋体" w:cs="宋体"/>
          <w:spacing w:val="-1"/>
          <w:sz w:val="20"/>
          <w:szCs w:val="20"/>
          <w:lang w:val="en-US" w:eastAsia="zh-CN"/>
        </w:rPr>
      </w:pPr>
      <w:r>
        <w:rPr>
          <w:rFonts w:hint="eastAsia" w:ascii="宋体" w:hAnsi="宋体" w:eastAsia="宋体" w:cs="宋体"/>
          <w:spacing w:val="-1"/>
          <w:sz w:val="20"/>
          <w:szCs w:val="20"/>
          <w:lang w:val="en-US" w:eastAsia="zh-CN"/>
        </w:rPr>
        <w:t>以干制红枣、鲜枣或冬枣为主要原料，经清洗或不清洗、</w:t>
      </w:r>
      <w:r>
        <w:rPr>
          <w:rFonts w:ascii="宋体" w:hAnsi="宋体" w:eastAsia="宋体" w:cs="宋体"/>
          <w:spacing w:val="-1"/>
          <w:sz w:val="20"/>
          <w:szCs w:val="20"/>
        </w:rPr>
        <w:t>去核或不去核</w:t>
      </w:r>
      <w:r>
        <w:rPr>
          <w:rFonts w:hint="eastAsia" w:ascii="宋体" w:hAnsi="宋体" w:eastAsia="宋体" w:cs="宋体"/>
          <w:spacing w:val="-1"/>
          <w:sz w:val="20"/>
          <w:szCs w:val="20"/>
          <w:lang w:eastAsia="zh-CN"/>
        </w:rPr>
        <w:t>、</w:t>
      </w:r>
      <w:r>
        <w:rPr>
          <w:rFonts w:hint="eastAsia" w:ascii="宋体" w:hAnsi="宋体" w:eastAsia="宋体" w:cs="宋体"/>
          <w:spacing w:val="-1"/>
          <w:sz w:val="20"/>
          <w:szCs w:val="20"/>
          <w:lang w:val="en-US" w:eastAsia="zh-CN"/>
        </w:rPr>
        <w:t>油炸、包装等工艺制成的口感酥脆的酥脆红枣（冬枣）。</w:t>
      </w:r>
    </w:p>
    <w:p w14:paraId="12CBDB38">
      <w:pPr>
        <w:spacing w:before="246" w:line="231" w:lineRule="auto"/>
        <w:ind w:left="126"/>
        <w:outlineLvl w:val="2"/>
        <w:rPr>
          <w:rFonts w:hint="default" w:ascii="黑体" w:hAnsi="黑体" w:eastAsia="黑体" w:cs="黑体"/>
          <w:spacing w:val="7"/>
          <w:sz w:val="20"/>
          <w:szCs w:val="20"/>
          <w:lang w:val="en-US" w:eastAsia="zh-CN"/>
        </w:rPr>
      </w:pPr>
      <w:r>
        <w:rPr>
          <w:rFonts w:ascii="黑体" w:hAnsi="黑体" w:eastAsia="黑体" w:cs="黑体"/>
          <w:spacing w:val="7"/>
          <w:sz w:val="20"/>
          <w:szCs w:val="20"/>
        </w:rPr>
        <w:t>3.</w:t>
      </w:r>
      <w:r>
        <w:rPr>
          <w:rFonts w:hint="eastAsia" w:ascii="黑体" w:hAnsi="黑体" w:eastAsia="黑体" w:cs="黑体"/>
          <w:spacing w:val="7"/>
          <w:sz w:val="20"/>
          <w:szCs w:val="20"/>
          <w:lang w:val="en-US" w:eastAsia="zh-CN"/>
        </w:rPr>
        <w:t>1.4</w:t>
      </w:r>
      <w:r>
        <w:rPr>
          <w:rFonts w:ascii="黑体" w:hAnsi="黑体" w:eastAsia="黑体" w:cs="黑体"/>
          <w:spacing w:val="7"/>
          <w:sz w:val="20"/>
          <w:szCs w:val="20"/>
        </w:rPr>
        <w:t xml:space="preserve">  </w:t>
      </w:r>
      <w:r>
        <w:rPr>
          <w:rFonts w:hint="eastAsia" w:ascii="黑体" w:hAnsi="黑体" w:eastAsia="黑体" w:cs="黑体"/>
          <w:spacing w:val="7"/>
          <w:sz w:val="20"/>
          <w:szCs w:val="20"/>
          <w:lang w:eastAsia="zh-CN"/>
        </w:rPr>
        <w:t>红枣</w:t>
      </w:r>
      <w:r>
        <w:rPr>
          <w:rFonts w:hint="eastAsia" w:ascii="黑体" w:hAnsi="黑体" w:eastAsia="黑体" w:cs="黑体"/>
          <w:spacing w:val="7"/>
          <w:sz w:val="20"/>
          <w:szCs w:val="20"/>
          <w:lang w:val="en-US" w:eastAsia="zh-CN"/>
        </w:rPr>
        <w:t>粉</w:t>
      </w:r>
    </w:p>
    <w:p w14:paraId="5065558B">
      <w:pPr>
        <w:keepNext w:val="0"/>
        <w:keepLines w:val="0"/>
        <w:pageBreakBefore w:val="0"/>
        <w:widowControl/>
        <w:kinsoku w:val="0"/>
        <w:wordWrap/>
        <w:overflowPunct/>
        <w:topLinePunct w:val="0"/>
        <w:autoSpaceDE w:val="0"/>
        <w:autoSpaceDN w:val="0"/>
        <w:bidi w:val="0"/>
        <w:adjustRightInd w:val="0"/>
        <w:snapToGrid w:val="0"/>
        <w:spacing w:before="219" w:line="360" w:lineRule="auto"/>
        <w:ind w:left="126" w:firstLine="443"/>
        <w:textAlignment w:val="baseline"/>
        <w:rPr>
          <w:rFonts w:hint="eastAsia" w:ascii="宋体" w:hAnsi="宋体" w:eastAsia="宋体" w:cs="宋体"/>
          <w:spacing w:val="-1"/>
          <w:sz w:val="20"/>
          <w:szCs w:val="20"/>
          <w:lang w:val="en-US" w:eastAsia="zh-CN"/>
        </w:rPr>
      </w:pPr>
      <w:r>
        <w:rPr>
          <w:rFonts w:hint="eastAsia" w:ascii="宋体" w:hAnsi="宋体" w:eastAsia="宋体" w:cs="宋体"/>
          <w:spacing w:val="-1"/>
          <w:sz w:val="20"/>
          <w:szCs w:val="20"/>
          <w:lang w:val="en-US" w:eastAsia="zh-CN"/>
        </w:rPr>
        <w:t>以干制红枣为主要原料，经粉碎或喷粉、包装等工艺制成的红枣粉。</w:t>
      </w:r>
    </w:p>
    <w:p w14:paraId="1D17AAD9">
      <w:pPr>
        <w:spacing w:before="246" w:line="231" w:lineRule="auto"/>
        <w:ind w:left="126"/>
        <w:outlineLvl w:val="2"/>
        <w:rPr>
          <w:rFonts w:hint="default" w:ascii="黑体" w:hAnsi="黑体" w:eastAsia="黑体" w:cs="黑体"/>
          <w:spacing w:val="7"/>
          <w:sz w:val="20"/>
          <w:szCs w:val="20"/>
          <w:lang w:val="en-US" w:eastAsia="zh-CN"/>
        </w:rPr>
      </w:pPr>
      <w:r>
        <w:rPr>
          <w:rFonts w:ascii="黑体" w:hAnsi="黑体" w:eastAsia="黑体" w:cs="黑体"/>
          <w:spacing w:val="7"/>
          <w:sz w:val="20"/>
          <w:szCs w:val="20"/>
        </w:rPr>
        <w:t>3.</w:t>
      </w:r>
      <w:r>
        <w:rPr>
          <w:rFonts w:hint="eastAsia" w:ascii="黑体" w:hAnsi="黑体" w:eastAsia="黑体" w:cs="黑体"/>
          <w:spacing w:val="7"/>
          <w:sz w:val="20"/>
          <w:szCs w:val="20"/>
          <w:lang w:val="en-US" w:eastAsia="zh-CN"/>
        </w:rPr>
        <w:t>1.5</w:t>
      </w:r>
      <w:r>
        <w:rPr>
          <w:rFonts w:ascii="黑体" w:hAnsi="黑体" w:eastAsia="黑体" w:cs="黑体"/>
          <w:spacing w:val="7"/>
          <w:sz w:val="20"/>
          <w:szCs w:val="20"/>
        </w:rPr>
        <w:t xml:space="preserve">  </w:t>
      </w:r>
      <w:r>
        <w:rPr>
          <w:rFonts w:hint="eastAsia" w:ascii="黑体" w:hAnsi="黑体" w:eastAsia="黑体" w:cs="黑体"/>
          <w:spacing w:val="7"/>
          <w:sz w:val="20"/>
          <w:szCs w:val="20"/>
          <w:lang w:val="en-US" w:eastAsia="zh-CN"/>
        </w:rPr>
        <w:t>蒸制</w:t>
      </w:r>
      <w:r>
        <w:rPr>
          <w:rFonts w:hint="eastAsia" w:ascii="黑体" w:hAnsi="黑体" w:eastAsia="黑体" w:cs="黑体"/>
          <w:spacing w:val="7"/>
          <w:sz w:val="20"/>
          <w:szCs w:val="20"/>
          <w:lang w:eastAsia="zh-CN"/>
        </w:rPr>
        <w:t>红枣</w:t>
      </w:r>
    </w:p>
    <w:p w14:paraId="51BDB3BA">
      <w:pPr>
        <w:keepNext w:val="0"/>
        <w:keepLines w:val="0"/>
        <w:pageBreakBefore w:val="0"/>
        <w:widowControl/>
        <w:kinsoku w:val="0"/>
        <w:wordWrap/>
        <w:overflowPunct/>
        <w:topLinePunct w:val="0"/>
        <w:autoSpaceDE w:val="0"/>
        <w:autoSpaceDN w:val="0"/>
        <w:bidi w:val="0"/>
        <w:adjustRightInd w:val="0"/>
        <w:snapToGrid w:val="0"/>
        <w:spacing w:before="219" w:line="360" w:lineRule="auto"/>
        <w:ind w:left="126" w:firstLine="443"/>
        <w:textAlignment w:val="baseline"/>
        <w:rPr>
          <w:rFonts w:ascii="宋体" w:hAnsi="宋体" w:eastAsia="宋体" w:cs="宋体"/>
          <w:spacing w:val="-1"/>
          <w:sz w:val="20"/>
          <w:szCs w:val="20"/>
        </w:rPr>
      </w:pPr>
      <w:r>
        <w:rPr>
          <w:rFonts w:ascii="宋体" w:hAnsi="宋体" w:eastAsia="宋体" w:cs="宋体"/>
          <w:spacing w:val="-1"/>
          <w:sz w:val="20"/>
          <w:szCs w:val="20"/>
        </w:rPr>
        <w:t>以</w:t>
      </w:r>
      <w:r>
        <w:rPr>
          <w:rFonts w:hint="eastAsia" w:ascii="宋体" w:hAnsi="宋体" w:eastAsia="宋体" w:cs="宋体"/>
          <w:spacing w:val="-1"/>
          <w:sz w:val="20"/>
          <w:szCs w:val="20"/>
          <w:lang w:val="en-US" w:eastAsia="zh-CN"/>
        </w:rPr>
        <w:t>干制</w:t>
      </w:r>
      <w:r>
        <w:rPr>
          <w:rFonts w:hint="eastAsia" w:ascii="宋体" w:hAnsi="宋体" w:eastAsia="宋体" w:cs="宋体"/>
          <w:spacing w:val="-1"/>
          <w:sz w:val="20"/>
          <w:szCs w:val="20"/>
          <w:lang w:eastAsia="zh-CN"/>
        </w:rPr>
        <w:t>红枣</w:t>
      </w:r>
      <w:r>
        <w:rPr>
          <w:rFonts w:ascii="宋体" w:hAnsi="宋体" w:eastAsia="宋体" w:cs="宋体"/>
          <w:spacing w:val="-1"/>
          <w:sz w:val="20"/>
          <w:szCs w:val="20"/>
        </w:rPr>
        <w:t>为原料，经</w:t>
      </w:r>
      <w:r>
        <w:rPr>
          <w:rFonts w:hint="eastAsia" w:ascii="宋体" w:hAnsi="宋体" w:eastAsia="宋体" w:cs="宋体"/>
          <w:spacing w:val="-1"/>
          <w:sz w:val="20"/>
          <w:szCs w:val="20"/>
          <w:lang w:val="en-US" w:eastAsia="zh-CN"/>
        </w:rPr>
        <w:t>清洗或不清洗、</w:t>
      </w:r>
      <w:r>
        <w:rPr>
          <w:rFonts w:ascii="宋体" w:hAnsi="宋体" w:eastAsia="宋体" w:cs="宋体"/>
          <w:spacing w:val="-1"/>
          <w:sz w:val="20"/>
          <w:szCs w:val="20"/>
        </w:rPr>
        <w:t>去核或不去核、</w:t>
      </w:r>
      <w:r>
        <w:rPr>
          <w:rFonts w:hint="eastAsia" w:ascii="宋体" w:hAnsi="宋体" w:eastAsia="宋体" w:cs="宋体"/>
          <w:spacing w:val="-1"/>
          <w:sz w:val="20"/>
          <w:szCs w:val="20"/>
          <w:lang w:val="en-US" w:eastAsia="zh-CN"/>
        </w:rPr>
        <w:t>添加或不添加辅料</w:t>
      </w:r>
      <w:r>
        <w:rPr>
          <w:rFonts w:hint="eastAsia" w:ascii="宋体" w:hAnsi="宋体" w:eastAsia="宋体" w:cs="宋体"/>
          <w:spacing w:val="-1"/>
          <w:sz w:val="20"/>
          <w:szCs w:val="20"/>
          <w:lang w:eastAsia="zh-CN"/>
        </w:rPr>
        <w:t>、</w:t>
      </w:r>
      <w:r>
        <w:rPr>
          <w:rFonts w:hint="eastAsia" w:ascii="宋体" w:hAnsi="宋体" w:eastAsia="宋体" w:cs="宋体"/>
          <w:spacing w:val="-1"/>
          <w:sz w:val="20"/>
          <w:szCs w:val="20"/>
          <w:lang w:val="en-US" w:eastAsia="zh-CN"/>
        </w:rPr>
        <w:t>蒸制、烘干、杀菌或不杀菌、</w:t>
      </w:r>
      <w:r>
        <w:rPr>
          <w:rFonts w:ascii="宋体" w:hAnsi="宋体" w:eastAsia="宋体" w:cs="宋体"/>
          <w:spacing w:val="-1"/>
          <w:sz w:val="20"/>
          <w:szCs w:val="20"/>
        </w:rPr>
        <w:t>包装等工艺制成的</w:t>
      </w:r>
      <w:r>
        <w:rPr>
          <w:rFonts w:hint="eastAsia" w:ascii="宋体" w:hAnsi="宋体" w:eastAsia="宋体" w:cs="宋体"/>
          <w:spacing w:val="-1"/>
          <w:sz w:val="20"/>
          <w:szCs w:val="20"/>
          <w:lang w:val="en-US" w:eastAsia="zh-CN"/>
        </w:rPr>
        <w:t>蒸制红枣</w:t>
      </w:r>
      <w:r>
        <w:rPr>
          <w:rFonts w:ascii="宋体" w:hAnsi="宋体" w:eastAsia="宋体" w:cs="宋体"/>
          <w:spacing w:val="-1"/>
          <w:sz w:val="20"/>
          <w:szCs w:val="20"/>
        </w:rPr>
        <w:t>。</w:t>
      </w:r>
    </w:p>
    <w:p w14:paraId="3181C174">
      <w:pPr>
        <w:pStyle w:val="10"/>
        <w:numPr>
          <w:ilvl w:val="1"/>
          <w:numId w:val="0"/>
        </w:numPr>
      </w:pPr>
      <w:r>
        <w:rPr>
          <w:rFonts w:hint="eastAsia" w:ascii="Times New Roman" w:hAnsi="Times New Roman" w:eastAsia="黑体" w:cs="黑体"/>
          <w:snapToGrid/>
          <w:color w:val="auto"/>
          <w:kern w:val="0"/>
          <w:sz w:val="21"/>
          <w:szCs w:val="21"/>
          <w:lang w:val="en-US" w:eastAsia="zh-CN" w:bidi="ar-SA"/>
        </w:rPr>
        <w:t>4  技术要求</w:t>
      </w:r>
    </w:p>
    <w:p w14:paraId="75614429">
      <w:pPr>
        <w:spacing w:before="66" w:line="231" w:lineRule="auto"/>
        <w:ind w:left="120"/>
        <w:outlineLvl w:val="2"/>
        <w:rPr>
          <w:rFonts w:ascii="黑体" w:hAnsi="黑体" w:eastAsia="黑体" w:cs="黑体"/>
          <w:sz w:val="20"/>
          <w:szCs w:val="20"/>
        </w:rPr>
      </w:pPr>
      <w:r>
        <w:rPr>
          <w:rFonts w:ascii="黑体" w:hAnsi="黑体" w:eastAsia="黑体" w:cs="黑体"/>
          <w:spacing w:val="6"/>
          <w:sz w:val="20"/>
          <w:szCs w:val="20"/>
        </w:rPr>
        <w:t>4.1  原</w:t>
      </w:r>
      <w:r>
        <w:rPr>
          <w:rFonts w:hint="eastAsia" w:ascii="黑体" w:hAnsi="黑体" w:eastAsia="黑体" w:cs="黑体"/>
          <w:spacing w:val="6"/>
          <w:sz w:val="20"/>
          <w:szCs w:val="20"/>
          <w:lang w:val="en-US" w:eastAsia="zh-CN"/>
        </w:rPr>
        <w:t>辅</w:t>
      </w:r>
      <w:r>
        <w:rPr>
          <w:rFonts w:ascii="黑体" w:hAnsi="黑体" w:eastAsia="黑体" w:cs="黑体"/>
          <w:spacing w:val="6"/>
          <w:sz w:val="20"/>
          <w:szCs w:val="20"/>
        </w:rPr>
        <w:t>料要求</w:t>
      </w:r>
    </w:p>
    <w:p w14:paraId="1BEB6496">
      <w:pPr>
        <w:pStyle w:val="14"/>
        <w:numPr>
          <w:ilvl w:val="1"/>
          <w:numId w:val="0"/>
        </w:numPr>
        <w:rPr>
          <w:rFonts w:hint="eastAsia" w:ascii="宋体" w:eastAsia="宋体"/>
          <w:color w:val="000000"/>
          <w:szCs w:val="22"/>
        </w:rPr>
      </w:pPr>
      <w:r>
        <w:rPr>
          <w:rFonts w:ascii="黑体" w:hAnsi="黑体" w:eastAsia="黑体" w:cs="黑体"/>
          <w:spacing w:val="8"/>
          <w:sz w:val="20"/>
          <w:szCs w:val="20"/>
        </w:rPr>
        <w:t xml:space="preserve">4.1.1 </w:t>
      </w:r>
      <w:r>
        <w:rPr>
          <w:rFonts w:hint="eastAsia" w:ascii="宋体" w:eastAsia="宋体"/>
          <w:color w:val="000000"/>
          <w:szCs w:val="22"/>
        </w:rPr>
        <w:t>干制红枣应符合 GB/T 5835 的规定；</w:t>
      </w:r>
    </w:p>
    <w:p w14:paraId="78BE42C1">
      <w:pPr>
        <w:pStyle w:val="14"/>
        <w:numPr>
          <w:ilvl w:val="1"/>
          <w:numId w:val="0"/>
        </w:numPr>
        <w:rPr>
          <w:rFonts w:hint="eastAsia" w:ascii="宋体" w:eastAsia="宋体"/>
          <w:color w:val="000000"/>
          <w:szCs w:val="22"/>
        </w:rPr>
      </w:pPr>
      <w:r>
        <w:rPr>
          <w:rFonts w:hint="eastAsia" w:ascii="宋体" w:eastAsia="宋体"/>
          <w:color w:val="000000"/>
          <w:szCs w:val="22"/>
        </w:rPr>
        <w:t xml:space="preserve">4.1.2 </w:t>
      </w:r>
      <w:r>
        <w:rPr>
          <w:rFonts w:hint="eastAsia" w:ascii="宋体" w:eastAsia="宋体"/>
          <w:color w:val="000000"/>
          <w:szCs w:val="22"/>
          <w:lang w:val="en-US" w:eastAsia="zh-CN"/>
        </w:rPr>
        <w:t>鲜枣</w:t>
      </w:r>
      <w:r>
        <w:rPr>
          <w:rFonts w:hint="eastAsia" w:ascii="宋体" w:eastAsia="宋体"/>
          <w:color w:val="000000"/>
          <w:szCs w:val="22"/>
        </w:rPr>
        <w:t>应符合 GB/T 2</w:t>
      </w:r>
      <w:r>
        <w:rPr>
          <w:rFonts w:hint="eastAsia" w:ascii="宋体" w:eastAsia="宋体"/>
          <w:color w:val="000000"/>
          <w:szCs w:val="22"/>
          <w:lang w:val="en-US" w:eastAsia="zh-CN"/>
        </w:rPr>
        <w:t>2345成熟鲜枣</w:t>
      </w:r>
      <w:r>
        <w:rPr>
          <w:rFonts w:hint="eastAsia" w:ascii="宋体" w:eastAsia="宋体"/>
          <w:color w:val="000000"/>
          <w:szCs w:val="22"/>
        </w:rPr>
        <w:t>的规定；</w:t>
      </w:r>
    </w:p>
    <w:p w14:paraId="460EC79A">
      <w:pPr>
        <w:pStyle w:val="14"/>
        <w:numPr>
          <w:ilvl w:val="1"/>
          <w:numId w:val="0"/>
        </w:numPr>
        <w:rPr>
          <w:rFonts w:hint="eastAsia" w:ascii="宋体" w:eastAsia="宋体"/>
          <w:color w:val="000000"/>
          <w:szCs w:val="22"/>
        </w:rPr>
      </w:pPr>
      <w:r>
        <w:rPr>
          <w:rFonts w:hint="eastAsia" w:ascii="宋体" w:eastAsia="宋体"/>
          <w:color w:val="000000"/>
          <w:szCs w:val="22"/>
        </w:rPr>
        <w:t>4.1.3 冬枣应符合GB/T 32714 的规定；</w:t>
      </w:r>
    </w:p>
    <w:p w14:paraId="7CE59007">
      <w:pPr>
        <w:pStyle w:val="14"/>
        <w:numPr>
          <w:ilvl w:val="1"/>
          <w:numId w:val="0"/>
        </w:numPr>
        <w:rPr>
          <w:rFonts w:hint="eastAsia" w:ascii="宋体" w:eastAsia="宋体"/>
          <w:color w:val="000000"/>
          <w:szCs w:val="22"/>
        </w:rPr>
      </w:pPr>
      <w:r>
        <w:rPr>
          <w:rFonts w:hint="eastAsia" w:ascii="宋体" w:eastAsia="宋体"/>
          <w:color w:val="000000"/>
          <w:szCs w:val="22"/>
        </w:rPr>
        <w:t>4.1.4 黄骅冬枣应符合GB/T 18740 的规定；</w:t>
      </w:r>
    </w:p>
    <w:p w14:paraId="5A17099F">
      <w:pPr>
        <w:keepNext w:val="0"/>
        <w:keepLines w:val="0"/>
        <w:pageBreakBefore w:val="0"/>
        <w:widowControl/>
        <w:kinsoku w:val="0"/>
        <w:wordWrap/>
        <w:overflowPunct/>
        <w:topLinePunct w:val="0"/>
        <w:autoSpaceDE w:val="0"/>
        <w:autoSpaceDN w:val="0"/>
        <w:bidi w:val="0"/>
        <w:adjustRightInd w:val="0"/>
        <w:snapToGrid w:val="0"/>
        <w:spacing w:before="109" w:line="360" w:lineRule="auto"/>
        <w:textAlignment w:val="baseline"/>
        <w:outlineLvl w:val="3"/>
        <w:rPr>
          <w:rFonts w:ascii="宋体" w:hAnsi="宋体" w:eastAsia="宋体" w:cs="宋体"/>
          <w:sz w:val="20"/>
          <w:szCs w:val="20"/>
        </w:rPr>
      </w:pPr>
      <w:r>
        <w:rPr>
          <w:rFonts w:ascii="黑体" w:hAnsi="黑体" w:eastAsia="黑体" w:cs="黑体"/>
          <w:spacing w:val="8"/>
          <w:sz w:val="20"/>
          <w:szCs w:val="20"/>
        </w:rPr>
        <w:t>4.1.</w:t>
      </w:r>
      <w:r>
        <w:rPr>
          <w:rFonts w:hint="eastAsia" w:ascii="黑体" w:hAnsi="黑体" w:eastAsia="黑体" w:cs="黑体"/>
          <w:spacing w:val="8"/>
          <w:sz w:val="20"/>
          <w:szCs w:val="20"/>
          <w:lang w:val="en-US" w:eastAsia="zh-CN"/>
        </w:rPr>
        <w:t>5</w:t>
      </w:r>
      <w:r>
        <w:rPr>
          <w:rFonts w:ascii="黑体" w:hAnsi="黑体" w:eastAsia="黑体" w:cs="黑体"/>
          <w:spacing w:val="8"/>
          <w:sz w:val="20"/>
          <w:szCs w:val="20"/>
        </w:rPr>
        <w:t xml:space="preserve"> </w:t>
      </w:r>
      <w:r>
        <w:rPr>
          <w:rFonts w:ascii="宋体" w:hAnsi="宋体" w:eastAsia="宋体" w:cs="宋体"/>
          <w:spacing w:val="8"/>
          <w:sz w:val="20"/>
          <w:szCs w:val="20"/>
        </w:rPr>
        <w:t>其他辅料应符合相应的食品标准和有关规定</w:t>
      </w:r>
      <w:r>
        <w:rPr>
          <w:rFonts w:hint="eastAsia" w:ascii="宋体" w:hAnsi="宋体" w:eastAsia="宋体" w:cs="宋体"/>
          <w:spacing w:val="8"/>
          <w:sz w:val="20"/>
          <w:szCs w:val="20"/>
          <w:lang w:val="en-US" w:eastAsia="zh-CN"/>
        </w:rPr>
        <w:t>,其中</w:t>
      </w:r>
      <w:r>
        <w:rPr>
          <w:rFonts w:ascii="Verdana" w:hAnsi="Verdana" w:eastAsia="宋体" w:cs="Verdana"/>
          <w:i w:val="0"/>
          <w:iCs w:val="0"/>
          <w:caps w:val="0"/>
          <w:color w:val="333333"/>
          <w:spacing w:val="0"/>
          <w:sz w:val="20"/>
          <w:szCs w:val="20"/>
          <w:shd w:val="clear" w:fill="FFFFFF"/>
        </w:rPr>
        <w:t>坚果与籽类</w:t>
      </w:r>
      <w:r>
        <w:rPr>
          <w:rFonts w:hint="eastAsia" w:ascii="Verdana" w:hAnsi="Verdana" w:eastAsia="宋体" w:cs="Verdana"/>
          <w:i w:val="0"/>
          <w:iCs w:val="0"/>
          <w:caps w:val="0"/>
          <w:color w:val="333333"/>
          <w:spacing w:val="0"/>
          <w:sz w:val="20"/>
          <w:szCs w:val="20"/>
          <w:shd w:val="clear" w:fill="FFFFFF"/>
          <w:lang w:val="en-US" w:eastAsia="zh-CN"/>
        </w:rPr>
        <w:t>应符合</w:t>
      </w:r>
      <w:r>
        <w:rPr>
          <w:rFonts w:ascii="宋体" w:hAnsi="宋体" w:eastAsia="宋体" w:cs="宋体"/>
          <w:spacing w:val="5"/>
          <w:sz w:val="20"/>
          <w:szCs w:val="20"/>
        </w:rPr>
        <w:t>GB 19300</w:t>
      </w:r>
      <w:r>
        <w:rPr>
          <w:rFonts w:hint="eastAsia" w:ascii="宋体" w:hAnsi="宋体" w:eastAsia="宋体" w:cs="宋体"/>
          <w:spacing w:val="5"/>
          <w:sz w:val="20"/>
          <w:szCs w:val="20"/>
          <w:lang w:val="en-US" w:eastAsia="zh-CN"/>
        </w:rPr>
        <w:t>规定、蜜饯应符合</w:t>
      </w:r>
      <w:r>
        <w:rPr>
          <w:rFonts w:ascii="宋体" w:hAnsi="宋体" w:eastAsia="宋体" w:cs="宋体"/>
          <w:spacing w:val="8"/>
          <w:sz w:val="20"/>
          <w:szCs w:val="20"/>
        </w:rPr>
        <w:t>GB 14884</w:t>
      </w:r>
      <w:r>
        <w:rPr>
          <w:rFonts w:hint="eastAsia" w:ascii="宋体" w:hAnsi="宋体" w:eastAsia="宋体" w:cs="宋体"/>
          <w:spacing w:val="5"/>
          <w:sz w:val="20"/>
          <w:szCs w:val="20"/>
          <w:lang w:val="en-US" w:eastAsia="zh-CN"/>
        </w:rPr>
        <w:t>规定</w:t>
      </w:r>
      <w:r>
        <w:rPr>
          <w:rFonts w:ascii="宋体" w:hAnsi="宋体" w:eastAsia="宋体" w:cs="宋体"/>
          <w:spacing w:val="8"/>
          <w:sz w:val="20"/>
          <w:szCs w:val="20"/>
        </w:rPr>
        <w:t>。</w:t>
      </w:r>
    </w:p>
    <w:p w14:paraId="077321B1">
      <w:pPr>
        <w:spacing w:before="218" w:line="231" w:lineRule="auto"/>
        <w:ind w:left="120"/>
        <w:outlineLvl w:val="2"/>
        <w:rPr>
          <w:rFonts w:ascii="黑体" w:hAnsi="黑体" w:eastAsia="黑体" w:cs="黑体"/>
          <w:sz w:val="20"/>
          <w:szCs w:val="20"/>
        </w:rPr>
      </w:pPr>
      <w:r>
        <w:rPr>
          <w:rFonts w:ascii="黑体" w:hAnsi="黑体" w:eastAsia="黑体" w:cs="黑体"/>
          <w:spacing w:val="6"/>
          <w:sz w:val="20"/>
          <w:szCs w:val="20"/>
        </w:rPr>
        <w:t>4.2  感官要求</w:t>
      </w:r>
    </w:p>
    <w:p w14:paraId="2A5D0E7C">
      <w:pPr>
        <w:spacing w:before="218" w:line="228" w:lineRule="auto"/>
        <w:ind w:left="546"/>
        <w:rPr>
          <w:rFonts w:ascii="宋体" w:hAnsi="宋体" w:eastAsia="宋体" w:cs="宋体"/>
          <w:sz w:val="20"/>
          <w:szCs w:val="20"/>
        </w:rPr>
      </w:pPr>
      <w:r>
        <w:rPr>
          <w:rFonts w:ascii="宋体" w:hAnsi="宋体" w:eastAsia="宋体" w:cs="宋体"/>
          <w:spacing w:val="7"/>
          <w:sz w:val="20"/>
          <w:szCs w:val="20"/>
        </w:rPr>
        <w:t>应符合表</w:t>
      </w:r>
      <w:r>
        <w:rPr>
          <w:rFonts w:ascii="Times New Roman" w:hAnsi="Times New Roman" w:eastAsia="Times New Roman" w:cs="Times New Roman"/>
          <w:spacing w:val="7"/>
          <w:sz w:val="20"/>
          <w:szCs w:val="20"/>
        </w:rPr>
        <w:t>1</w:t>
      </w:r>
      <w:r>
        <w:rPr>
          <w:rFonts w:ascii="宋体" w:hAnsi="宋体" w:eastAsia="宋体" w:cs="宋体"/>
          <w:spacing w:val="7"/>
          <w:sz w:val="20"/>
          <w:szCs w:val="20"/>
        </w:rPr>
        <w:t>的规定。</w:t>
      </w:r>
    </w:p>
    <w:p w14:paraId="3DAA5296">
      <w:pPr>
        <w:spacing w:before="221" w:line="231" w:lineRule="auto"/>
        <w:ind w:left="4096"/>
        <w:rPr>
          <w:rFonts w:ascii="黑体" w:hAnsi="黑体" w:eastAsia="黑体" w:cs="黑体"/>
          <w:sz w:val="20"/>
          <w:szCs w:val="20"/>
        </w:rPr>
      </w:pPr>
      <w:r>
        <w:rPr>
          <w:rFonts w:ascii="黑体" w:hAnsi="黑体" w:eastAsia="黑体" w:cs="黑体"/>
          <w:spacing w:val="2"/>
          <w:sz w:val="20"/>
          <w:szCs w:val="20"/>
        </w:rPr>
        <w:t>表</w:t>
      </w:r>
      <w:r>
        <w:rPr>
          <w:rFonts w:ascii="黑体" w:hAnsi="黑体" w:eastAsia="黑体" w:cs="黑体"/>
          <w:spacing w:val="-29"/>
          <w:sz w:val="20"/>
          <w:szCs w:val="20"/>
        </w:rPr>
        <w:t xml:space="preserve"> </w:t>
      </w:r>
      <w:r>
        <w:rPr>
          <w:rFonts w:ascii="黑体" w:hAnsi="黑体" w:eastAsia="黑体" w:cs="黑体"/>
          <w:spacing w:val="2"/>
          <w:sz w:val="20"/>
          <w:szCs w:val="20"/>
        </w:rPr>
        <w:t>1</w:t>
      </w:r>
      <w:r>
        <w:rPr>
          <w:rFonts w:ascii="黑体" w:hAnsi="黑体" w:eastAsia="黑体" w:cs="黑体"/>
          <w:spacing w:val="10"/>
          <w:sz w:val="20"/>
          <w:szCs w:val="20"/>
        </w:rPr>
        <w:t xml:space="preserve">  </w:t>
      </w:r>
      <w:r>
        <w:rPr>
          <w:rFonts w:ascii="黑体" w:hAnsi="黑体" w:eastAsia="黑体" w:cs="黑体"/>
          <w:spacing w:val="2"/>
          <w:sz w:val="20"/>
          <w:szCs w:val="20"/>
        </w:rPr>
        <w:t>感官要求</w:t>
      </w:r>
    </w:p>
    <w:p w14:paraId="7F518C47">
      <w:pPr>
        <w:spacing w:line="168" w:lineRule="exact"/>
      </w:pPr>
    </w:p>
    <w:tbl>
      <w:tblPr>
        <w:tblStyle w:val="8"/>
        <w:tblW w:w="907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05"/>
        <w:gridCol w:w="3948"/>
        <w:gridCol w:w="2419"/>
      </w:tblGrid>
      <w:tr w14:paraId="5E7B9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2705" w:type="dxa"/>
            <w:tcBorders>
              <w:top w:val="single" w:color="000000" w:sz="6" w:space="0"/>
              <w:left w:val="single" w:color="000000" w:sz="6" w:space="0"/>
              <w:bottom w:val="single" w:color="000000" w:sz="6" w:space="0"/>
            </w:tcBorders>
            <w:vAlign w:val="top"/>
          </w:tcPr>
          <w:p w14:paraId="2653BCA6">
            <w:pPr>
              <w:pStyle w:val="9"/>
              <w:spacing w:before="72" w:line="220" w:lineRule="auto"/>
              <w:ind w:left="1039"/>
            </w:pPr>
            <w:r>
              <w:rPr>
                <w:spacing w:val="-5"/>
              </w:rPr>
              <w:t>项</w:t>
            </w:r>
            <w:r>
              <w:rPr>
                <w:spacing w:val="14"/>
              </w:rPr>
              <w:t xml:space="preserve">   </w:t>
            </w:r>
            <w:r>
              <w:rPr>
                <w:spacing w:val="-5"/>
              </w:rPr>
              <w:t>目</w:t>
            </w:r>
          </w:p>
        </w:tc>
        <w:tc>
          <w:tcPr>
            <w:tcW w:w="3948" w:type="dxa"/>
            <w:tcBorders>
              <w:top w:val="single" w:color="000000" w:sz="6" w:space="0"/>
              <w:bottom w:val="single" w:color="000000" w:sz="6" w:space="0"/>
            </w:tcBorders>
            <w:vAlign w:val="top"/>
          </w:tcPr>
          <w:p w14:paraId="76CFCA9C">
            <w:pPr>
              <w:pStyle w:val="9"/>
              <w:spacing w:before="72" w:line="219" w:lineRule="auto"/>
              <w:ind w:left="1483"/>
            </w:pPr>
            <w:r>
              <w:rPr>
                <w:spacing w:val="-6"/>
              </w:rPr>
              <w:t>技</w:t>
            </w:r>
            <w:r>
              <w:rPr>
                <w:spacing w:val="9"/>
              </w:rPr>
              <w:t xml:space="preserve"> </w:t>
            </w:r>
            <w:r>
              <w:rPr>
                <w:spacing w:val="-6"/>
              </w:rPr>
              <w:t>术</w:t>
            </w:r>
            <w:r>
              <w:rPr>
                <w:spacing w:val="6"/>
              </w:rPr>
              <w:t xml:space="preserve"> </w:t>
            </w:r>
            <w:r>
              <w:rPr>
                <w:spacing w:val="-6"/>
              </w:rPr>
              <w:t>要</w:t>
            </w:r>
            <w:r>
              <w:rPr>
                <w:spacing w:val="9"/>
              </w:rPr>
              <w:t xml:space="preserve"> </w:t>
            </w:r>
            <w:r>
              <w:rPr>
                <w:spacing w:val="-6"/>
              </w:rPr>
              <w:t>求</w:t>
            </w:r>
          </w:p>
        </w:tc>
        <w:tc>
          <w:tcPr>
            <w:tcW w:w="2419" w:type="dxa"/>
            <w:tcBorders>
              <w:top w:val="single" w:color="000000" w:sz="6" w:space="0"/>
              <w:bottom w:val="single" w:color="000000" w:sz="6" w:space="0"/>
              <w:right w:val="single" w:color="000000" w:sz="6" w:space="0"/>
            </w:tcBorders>
            <w:vAlign w:val="top"/>
          </w:tcPr>
          <w:p w14:paraId="7BC67BE7">
            <w:pPr>
              <w:pStyle w:val="9"/>
              <w:spacing w:before="72" w:line="219" w:lineRule="auto"/>
              <w:ind w:left="854"/>
            </w:pPr>
            <w:r>
              <w:rPr>
                <w:spacing w:val="-2"/>
              </w:rPr>
              <w:t>检验方法</w:t>
            </w:r>
          </w:p>
        </w:tc>
      </w:tr>
      <w:tr w14:paraId="377EE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2705" w:type="dxa"/>
            <w:tcBorders>
              <w:top w:val="single" w:color="000000" w:sz="6" w:space="0"/>
              <w:left w:val="single" w:color="000000" w:sz="6" w:space="0"/>
            </w:tcBorders>
            <w:vAlign w:val="top"/>
          </w:tcPr>
          <w:p w14:paraId="24B95223">
            <w:pPr>
              <w:pStyle w:val="9"/>
              <w:spacing w:before="64" w:line="220" w:lineRule="auto"/>
              <w:ind w:left="112"/>
              <w:jc w:val="center"/>
            </w:pPr>
            <w:r>
              <w:rPr>
                <w:spacing w:val="-5"/>
              </w:rPr>
              <w:t>色泽</w:t>
            </w:r>
          </w:p>
        </w:tc>
        <w:tc>
          <w:tcPr>
            <w:tcW w:w="3948" w:type="dxa"/>
            <w:tcBorders>
              <w:top w:val="single" w:color="000000" w:sz="6" w:space="0"/>
            </w:tcBorders>
            <w:vAlign w:val="top"/>
          </w:tcPr>
          <w:p w14:paraId="78FF2C22">
            <w:pPr>
              <w:pStyle w:val="9"/>
              <w:spacing w:before="64" w:line="219" w:lineRule="auto"/>
              <w:ind w:left="113"/>
              <w:jc w:val="left"/>
            </w:pPr>
            <w:r>
              <w:rPr>
                <w:spacing w:val="-2"/>
              </w:rPr>
              <w:t>具有产品应有的色泽</w:t>
            </w:r>
          </w:p>
        </w:tc>
        <w:tc>
          <w:tcPr>
            <w:tcW w:w="2419" w:type="dxa"/>
            <w:vMerge w:val="restart"/>
            <w:tcBorders>
              <w:top w:val="single" w:color="000000" w:sz="6" w:space="0"/>
              <w:bottom w:val="nil"/>
              <w:right w:val="single" w:color="000000" w:sz="6" w:space="0"/>
            </w:tcBorders>
            <w:vAlign w:val="top"/>
          </w:tcPr>
          <w:p w14:paraId="053BC4A0">
            <w:pPr>
              <w:pStyle w:val="9"/>
              <w:spacing w:before="80" w:line="305" w:lineRule="auto"/>
              <w:ind w:left="116" w:right="138"/>
            </w:pPr>
            <w:r>
              <w:rPr>
                <w:spacing w:val="-1"/>
              </w:rPr>
              <w:t>在光线充足、空气清新的实验室内，观察产品的色泽、组织状态、有无杂质现象，嗅其气味，口尝其滋味。</w:t>
            </w:r>
          </w:p>
        </w:tc>
      </w:tr>
      <w:tr w14:paraId="41B12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2705" w:type="dxa"/>
            <w:tcBorders>
              <w:left w:val="single" w:color="000000" w:sz="6" w:space="0"/>
            </w:tcBorders>
            <w:vAlign w:val="top"/>
          </w:tcPr>
          <w:p w14:paraId="2811ADE3">
            <w:pPr>
              <w:pStyle w:val="9"/>
              <w:spacing w:before="72" w:line="219" w:lineRule="auto"/>
              <w:ind w:left="112"/>
              <w:jc w:val="center"/>
            </w:pPr>
            <w:r>
              <w:rPr>
                <w:spacing w:val="-3"/>
              </w:rPr>
              <w:t>组织状态</w:t>
            </w:r>
          </w:p>
        </w:tc>
        <w:tc>
          <w:tcPr>
            <w:tcW w:w="3948" w:type="dxa"/>
            <w:vAlign w:val="top"/>
          </w:tcPr>
          <w:p w14:paraId="6F0F67C5">
            <w:pPr>
              <w:pStyle w:val="9"/>
              <w:spacing w:before="72" w:line="219" w:lineRule="auto"/>
              <w:ind w:left="113"/>
              <w:jc w:val="left"/>
            </w:pPr>
            <w:r>
              <w:rPr>
                <w:spacing w:val="-1"/>
              </w:rPr>
              <w:t>具有产品应有组织形态</w:t>
            </w:r>
          </w:p>
        </w:tc>
        <w:tc>
          <w:tcPr>
            <w:tcW w:w="2419" w:type="dxa"/>
            <w:vMerge w:val="continue"/>
            <w:tcBorders>
              <w:top w:val="nil"/>
              <w:bottom w:val="nil"/>
              <w:right w:val="single" w:color="000000" w:sz="6" w:space="0"/>
            </w:tcBorders>
            <w:vAlign w:val="top"/>
          </w:tcPr>
          <w:p w14:paraId="4C9316B2">
            <w:pPr>
              <w:rPr>
                <w:rFonts w:ascii="Arial"/>
                <w:sz w:val="21"/>
              </w:rPr>
            </w:pPr>
          </w:p>
        </w:tc>
      </w:tr>
      <w:tr w14:paraId="61F13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2705" w:type="dxa"/>
            <w:tcBorders>
              <w:left w:val="single" w:color="000000" w:sz="6" w:space="0"/>
            </w:tcBorders>
            <w:vAlign w:val="top"/>
          </w:tcPr>
          <w:p w14:paraId="47A59A53">
            <w:pPr>
              <w:pStyle w:val="9"/>
              <w:spacing w:before="74" w:line="220" w:lineRule="auto"/>
              <w:ind w:left="110"/>
              <w:jc w:val="center"/>
            </w:pPr>
            <w:r>
              <w:rPr>
                <w:spacing w:val="-2"/>
              </w:rPr>
              <w:t>气味和滋味</w:t>
            </w:r>
          </w:p>
        </w:tc>
        <w:tc>
          <w:tcPr>
            <w:tcW w:w="3948" w:type="dxa"/>
            <w:vAlign w:val="top"/>
          </w:tcPr>
          <w:p w14:paraId="5BAE6DB5">
            <w:pPr>
              <w:pStyle w:val="9"/>
              <w:spacing w:before="74" w:line="219" w:lineRule="auto"/>
              <w:ind w:left="113"/>
              <w:jc w:val="left"/>
            </w:pPr>
            <w:r>
              <w:rPr>
                <w:spacing w:val="-1"/>
              </w:rPr>
              <w:t>具有产品应有的滋味和气味，无异味</w:t>
            </w:r>
          </w:p>
        </w:tc>
        <w:tc>
          <w:tcPr>
            <w:tcW w:w="2419" w:type="dxa"/>
            <w:vMerge w:val="continue"/>
            <w:tcBorders>
              <w:top w:val="nil"/>
              <w:bottom w:val="nil"/>
              <w:right w:val="single" w:color="000000" w:sz="6" w:space="0"/>
            </w:tcBorders>
            <w:vAlign w:val="top"/>
          </w:tcPr>
          <w:p w14:paraId="5E302D51">
            <w:pPr>
              <w:rPr>
                <w:rFonts w:ascii="Arial"/>
                <w:sz w:val="21"/>
              </w:rPr>
            </w:pPr>
          </w:p>
        </w:tc>
      </w:tr>
      <w:tr w14:paraId="119CAB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2705" w:type="dxa"/>
            <w:tcBorders>
              <w:left w:val="single" w:color="000000" w:sz="6" w:space="0"/>
              <w:bottom w:val="single" w:color="000000" w:sz="6" w:space="0"/>
            </w:tcBorders>
            <w:vAlign w:val="top"/>
          </w:tcPr>
          <w:p w14:paraId="6EB7041E">
            <w:pPr>
              <w:pStyle w:val="9"/>
              <w:spacing w:before="77" w:line="219" w:lineRule="auto"/>
              <w:ind w:left="111"/>
              <w:jc w:val="center"/>
            </w:pPr>
            <w:r>
              <w:rPr>
                <w:spacing w:val="-5"/>
              </w:rPr>
              <w:t>杂质</w:t>
            </w:r>
          </w:p>
        </w:tc>
        <w:tc>
          <w:tcPr>
            <w:tcW w:w="3948" w:type="dxa"/>
            <w:tcBorders>
              <w:bottom w:val="single" w:color="000000" w:sz="6" w:space="0"/>
            </w:tcBorders>
            <w:vAlign w:val="top"/>
          </w:tcPr>
          <w:p w14:paraId="06DF6C37">
            <w:pPr>
              <w:pStyle w:val="9"/>
              <w:spacing w:before="77" w:line="219" w:lineRule="auto"/>
              <w:ind w:left="111"/>
              <w:jc w:val="left"/>
            </w:pPr>
            <w:r>
              <w:rPr>
                <w:spacing w:val="-1"/>
              </w:rPr>
              <w:t>无肉眼可见的外来杂质</w:t>
            </w:r>
          </w:p>
        </w:tc>
        <w:tc>
          <w:tcPr>
            <w:tcW w:w="2419" w:type="dxa"/>
            <w:vMerge w:val="continue"/>
            <w:tcBorders>
              <w:top w:val="nil"/>
              <w:bottom w:val="single" w:color="000000" w:sz="6" w:space="0"/>
              <w:right w:val="single" w:color="000000" w:sz="6" w:space="0"/>
            </w:tcBorders>
            <w:vAlign w:val="top"/>
          </w:tcPr>
          <w:p w14:paraId="2E1E39E7">
            <w:pPr>
              <w:rPr>
                <w:rFonts w:ascii="Arial"/>
                <w:sz w:val="21"/>
              </w:rPr>
            </w:pPr>
          </w:p>
        </w:tc>
      </w:tr>
    </w:tbl>
    <w:p w14:paraId="18B1269C">
      <w:pPr>
        <w:spacing w:before="208" w:line="231" w:lineRule="auto"/>
        <w:ind w:left="120"/>
        <w:outlineLvl w:val="2"/>
        <w:rPr>
          <w:rFonts w:ascii="黑体" w:hAnsi="黑体" w:eastAsia="黑体" w:cs="黑体"/>
          <w:sz w:val="20"/>
          <w:szCs w:val="20"/>
        </w:rPr>
      </w:pPr>
      <w:r>
        <w:rPr>
          <w:rFonts w:ascii="黑体" w:hAnsi="黑体" w:eastAsia="黑体" w:cs="黑体"/>
          <w:spacing w:val="6"/>
          <w:sz w:val="20"/>
          <w:szCs w:val="20"/>
        </w:rPr>
        <w:t>4.3  理化指标</w:t>
      </w:r>
    </w:p>
    <w:p w14:paraId="377F1272">
      <w:pPr>
        <w:spacing w:before="217" w:line="228" w:lineRule="auto"/>
        <w:ind w:left="546"/>
        <w:rPr>
          <w:rFonts w:ascii="宋体" w:hAnsi="宋体" w:eastAsia="宋体" w:cs="宋体"/>
          <w:sz w:val="20"/>
          <w:szCs w:val="20"/>
        </w:rPr>
      </w:pPr>
      <w:r>
        <w:rPr>
          <w:rFonts w:ascii="宋体" w:hAnsi="宋体" w:eastAsia="宋体" w:cs="宋体"/>
          <w:spacing w:val="7"/>
          <w:sz w:val="20"/>
          <w:szCs w:val="20"/>
        </w:rPr>
        <w:t>应符合表</w:t>
      </w:r>
      <w:r>
        <w:rPr>
          <w:rFonts w:ascii="Times New Roman" w:hAnsi="Times New Roman" w:eastAsia="Times New Roman" w:cs="Times New Roman"/>
          <w:spacing w:val="7"/>
          <w:sz w:val="20"/>
          <w:szCs w:val="20"/>
        </w:rPr>
        <w:t>2</w:t>
      </w:r>
      <w:r>
        <w:rPr>
          <w:rFonts w:ascii="宋体" w:hAnsi="宋体" w:eastAsia="宋体" w:cs="宋体"/>
          <w:spacing w:val="7"/>
          <w:sz w:val="20"/>
          <w:szCs w:val="20"/>
        </w:rPr>
        <w:t>的规定。</w:t>
      </w:r>
    </w:p>
    <w:p w14:paraId="0B793C34">
      <w:pPr>
        <w:spacing w:before="222" w:line="231" w:lineRule="auto"/>
        <w:ind w:left="4096"/>
        <w:rPr>
          <w:rFonts w:ascii="黑体" w:hAnsi="黑体" w:eastAsia="黑体" w:cs="黑体"/>
          <w:sz w:val="20"/>
          <w:szCs w:val="20"/>
        </w:rPr>
      </w:pPr>
      <w:r>
        <w:rPr>
          <w:rFonts w:ascii="黑体" w:hAnsi="黑体" w:eastAsia="黑体" w:cs="黑体"/>
          <w:spacing w:val="4"/>
          <w:sz w:val="20"/>
          <w:szCs w:val="20"/>
        </w:rPr>
        <w:t>表</w:t>
      </w:r>
      <w:r>
        <w:rPr>
          <w:rFonts w:ascii="黑体" w:hAnsi="黑体" w:eastAsia="黑体" w:cs="黑体"/>
          <w:spacing w:val="-40"/>
          <w:sz w:val="20"/>
          <w:szCs w:val="20"/>
        </w:rPr>
        <w:t xml:space="preserve"> </w:t>
      </w:r>
      <w:r>
        <w:rPr>
          <w:rFonts w:ascii="黑体" w:hAnsi="黑体" w:eastAsia="黑体" w:cs="黑体"/>
          <w:spacing w:val="4"/>
          <w:sz w:val="20"/>
          <w:szCs w:val="20"/>
        </w:rPr>
        <w:t>2</w:t>
      </w:r>
      <w:r>
        <w:rPr>
          <w:rFonts w:ascii="黑体" w:hAnsi="黑体" w:eastAsia="黑体" w:cs="黑体"/>
          <w:spacing w:val="9"/>
          <w:sz w:val="20"/>
          <w:szCs w:val="20"/>
        </w:rPr>
        <w:t xml:space="preserve">  </w:t>
      </w:r>
      <w:r>
        <w:rPr>
          <w:rFonts w:ascii="黑体" w:hAnsi="黑体" w:eastAsia="黑体" w:cs="黑体"/>
          <w:spacing w:val="4"/>
          <w:sz w:val="20"/>
          <w:szCs w:val="20"/>
        </w:rPr>
        <w:t>理化指标</w:t>
      </w:r>
    </w:p>
    <w:p w14:paraId="4C8F98F6">
      <w:pPr>
        <w:spacing w:line="166" w:lineRule="exact"/>
      </w:pPr>
    </w:p>
    <w:tbl>
      <w:tblPr>
        <w:tblStyle w:val="8"/>
        <w:tblW w:w="930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21"/>
        <w:gridCol w:w="739"/>
        <w:gridCol w:w="1177"/>
        <w:gridCol w:w="578"/>
        <w:gridCol w:w="2033"/>
        <w:gridCol w:w="800"/>
        <w:gridCol w:w="1256"/>
      </w:tblGrid>
      <w:tr w14:paraId="3C810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2721" w:type="dxa"/>
            <w:vMerge w:val="restart"/>
            <w:tcBorders>
              <w:top w:val="single" w:color="000000" w:sz="6" w:space="0"/>
              <w:left w:val="single" w:color="000000" w:sz="6" w:space="0"/>
              <w:bottom w:val="nil"/>
            </w:tcBorders>
            <w:vAlign w:val="top"/>
          </w:tcPr>
          <w:p w14:paraId="559D6F1D">
            <w:pPr>
              <w:pStyle w:val="9"/>
              <w:spacing w:before="231" w:line="220" w:lineRule="auto"/>
              <w:ind w:left="1003"/>
            </w:pPr>
            <w:r>
              <w:rPr>
                <w:spacing w:val="-5"/>
              </w:rPr>
              <w:t>项</w:t>
            </w:r>
            <w:r>
              <w:rPr>
                <w:spacing w:val="10"/>
              </w:rPr>
              <w:t xml:space="preserve">    </w:t>
            </w:r>
            <w:r>
              <w:rPr>
                <w:spacing w:val="-5"/>
              </w:rPr>
              <w:t>目</w:t>
            </w:r>
          </w:p>
        </w:tc>
        <w:tc>
          <w:tcPr>
            <w:tcW w:w="5327" w:type="dxa"/>
            <w:gridSpan w:val="5"/>
            <w:tcBorders>
              <w:top w:val="single" w:color="000000" w:sz="6" w:space="0"/>
            </w:tcBorders>
            <w:vAlign w:val="top"/>
          </w:tcPr>
          <w:p w14:paraId="326FB0BD">
            <w:pPr>
              <w:pStyle w:val="9"/>
              <w:spacing w:before="71" w:line="220" w:lineRule="auto"/>
              <w:jc w:val="center"/>
            </w:pPr>
            <w:r>
              <w:rPr>
                <w:spacing w:val="-5"/>
              </w:rPr>
              <w:t>指</w:t>
            </w:r>
            <w:r>
              <w:rPr>
                <w:spacing w:val="7"/>
              </w:rPr>
              <w:t xml:space="preserve">     </w:t>
            </w:r>
            <w:r>
              <w:rPr>
                <w:spacing w:val="-5"/>
              </w:rPr>
              <w:t>标</w:t>
            </w:r>
          </w:p>
        </w:tc>
        <w:tc>
          <w:tcPr>
            <w:tcW w:w="1256" w:type="dxa"/>
            <w:vMerge w:val="restart"/>
            <w:tcBorders>
              <w:top w:val="single" w:color="000000" w:sz="6" w:space="0"/>
              <w:bottom w:val="nil"/>
              <w:right w:val="single" w:color="000000" w:sz="6" w:space="0"/>
            </w:tcBorders>
            <w:vAlign w:val="top"/>
          </w:tcPr>
          <w:p w14:paraId="680F7818">
            <w:pPr>
              <w:pStyle w:val="9"/>
              <w:spacing w:before="232" w:line="219" w:lineRule="auto"/>
              <w:ind w:left="352"/>
            </w:pPr>
            <w:r>
              <w:rPr>
                <w:spacing w:val="-2"/>
              </w:rPr>
              <w:t>检验方法</w:t>
            </w:r>
          </w:p>
        </w:tc>
      </w:tr>
      <w:tr w14:paraId="3336A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2721" w:type="dxa"/>
            <w:vMerge w:val="continue"/>
            <w:tcBorders>
              <w:top w:val="nil"/>
              <w:left w:val="single" w:color="000000" w:sz="6" w:space="0"/>
              <w:bottom w:val="single" w:color="000000" w:sz="6" w:space="0"/>
            </w:tcBorders>
            <w:vAlign w:val="top"/>
          </w:tcPr>
          <w:p w14:paraId="048AB396">
            <w:pPr>
              <w:rPr>
                <w:rFonts w:ascii="Arial"/>
                <w:sz w:val="21"/>
              </w:rPr>
            </w:pPr>
          </w:p>
        </w:tc>
        <w:tc>
          <w:tcPr>
            <w:tcW w:w="739" w:type="dxa"/>
            <w:tcBorders>
              <w:bottom w:val="single" w:color="000000" w:sz="6" w:space="0"/>
              <w:right w:val="single" w:color="auto" w:sz="4" w:space="0"/>
            </w:tcBorders>
            <w:vAlign w:val="top"/>
          </w:tcPr>
          <w:p w14:paraId="443D44DD">
            <w:pPr>
              <w:pStyle w:val="9"/>
              <w:spacing w:before="68" w:line="219" w:lineRule="auto"/>
              <w:jc w:val="both"/>
              <w:rPr>
                <w:rFonts w:hint="eastAsia" w:eastAsia="宋体"/>
                <w:lang w:eastAsia="zh-CN"/>
              </w:rPr>
            </w:pPr>
            <w:r>
              <w:rPr>
                <w:spacing w:val="-6"/>
              </w:rPr>
              <w:t>即食</w:t>
            </w:r>
            <w:r>
              <w:rPr>
                <w:rFonts w:hint="eastAsia"/>
                <w:spacing w:val="-6"/>
                <w:lang w:eastAsia="zh-CN"/>
              </w:rPr>
              <w:t>红枣</w:t>
            </w:r>
          </w:p>
        </w:tc>
        <w:tc>
          <w:tcPr>
            <w:tcW w:w="1177" w:type="dxa"/>
            <w:tcBorders>
              <w:left w:val="single" w:color="auto" w:sz="4" w:space="0"/>
              <w:bottom w:val="single" w:color="000000" w:sz="6" w:space="0"/>
              <w:right w:val="single" w:color="auto" w:sz="4" w:space="0"/>
            </w:tcBorders>
            <w:vAlign w:val="top"/>
          </w:tcPr>
          <w:p w14:paraId="65F8F128">
            <w:pPr>
              <w:pStyle w:val="9"/>
              <w:spacing w:before="68" w:line="219" w:lineRule="auto"/>
              <w:ind w:left="110"/>
              <w:jc w:val="both"/>
              <w:rPr>
                <w:rFonts w:hint="default" w:eastAsia="宋体"/>
                <w:spacing w:val="-6"/>
                <w:lang w:val="en-US" w:eastAsia="zh-CN"/>
              </w:rPr>
            </w:pPr>
            <w:r>
              <w:rPr>
                <w:rFonts w:hint="eastAsia"/>
                <w:spacing w:val="-6"/>
                <w:lang w:val="en-US" w:eastAsia="zh-CN"/>
              </w:rPr>
              <w:t>酥脆红枣（冬枣）</w:t>
            </w:r>
          </w:p>
        </w:tc>
        <w:tc>
          <w:tcPr>
            <w:tcW w:w="578" w:type="dxa"/>
            <w:tcBorders>
              <w:left w:val="single" w:color="auto" w:sz="4" w:space="0"/>
              <w:bottom w:val="single" w:color="000000" w:sz="6" w:space="0"/>
            </w:tcBorders>
            <w:vAlign w:val="top"/>
          </w:tcPr>
          <w:p w14:paraId="484DA1CF">
            <w:pPr>
              <w:pStyle w:val="9"/>
              <w:spacing w:before="68" w:line="219" w:lineRule="auto"/>
              <w:jc w:val="both"/>
              <w:rPr>
                <w:rFonts w:hint="eastAsia" w:eastAsia="宋体"/>
                <w:spacing w:val="-6"/>
                <w:lang w:val="en-US" w:eastAsia="zh-CN"/>
              </w:rPr>
            </w:pPr>
            <w:r>
              <w:rPr>
                <w:rFonts w:hint="eastAsia"/>
                <w:spacing w:val="-6"/>
                <w:lang w:val="en-US" w:eastAsia="zh-CN"/>
              </w:rPr>
              <w:t>红枣粉</w:t>
            </w:r>
          </w:p>
        </w:tc>
        <w:tc>
          <w:tcPr>
            <w:tcW w:w="2033" w:type="dxa"/>
            <w:tcBorders>
              <w:bottom w:val="single" w:color="000000" w:sz="6" w:space="0"/>
              <w:right w:val="single" w:color="auto" w:sz="4" w:space="0"/>
            </w:tcBorders>
            <w:vAlign w:val="top"/>
          </w:tcPr>
          <w:p w14:paraId="502E94DB">
            <w:pPr>
              <w:pStyle w:val="9"/>
              <w:spacing w:before="68" w:line="220" w:lineRule="auto"/>
              <w:jc w:val="center"/>
              <w:rPr>
                <w:rFonts w:hint="eastAsia" w:eastAsia="宋体"/>
                <w:lang w:eastAsia="zh-CN"/>
              </w:rPr>
            </w:pPr>
            <w:r>
              <w:rPr>
                <w:spacing w:val="-3"/>
              </w:rPr>
              <w:t>夹心</w:t>
            </w:r>
            <w:r>
              <w:rPr>
                <w:rFonts w:hint="eastAsia"/>
                <w:spacing w:val="-3"/>
                <w:lang w:eastAsia="zh-CN"/>
              </w:rPr>
              <w:t>（</w:t>
            </w:r>
            <w:r>
              <w:rPr>
                <w:rFonts w:hint="eastAsia"/>
                <w:spacing w:val="-3"/>
                <w:lang w:val="en-US" w:eastAsia="zh-CN"/>
              </w:rPr>
              <w:t>裹衣</w:t>
            </w:r>
            <w:r>
              <w:rPr>
                <w:rFonts w:hint="eastAsia"/>
                <w:spacing w:val="-3"/>
                <w:lang w:eastAsia="zh-CN"/>
              </w:rPr>
              <w:t>）红枣</w:t>
            </w:r>
          </w:p>
        </w:tc>
        <w:tc>
          <w:tcPr>
            <w:tcW w:w="800" w:type="dxa"/>
            <w:tcBorders>
              <w:left w:val="single" w:color="auto" w:sz="4" w:space="0"/>
              <w:bottom w:val="single" w:color="000000" w:sz="6" w:space="0"/>
            </w:tcBorders>
            <w:vAlign w:val="top"/>
          </w:tcPr>
          <w:p w14:paraId="6E408CB4">
            <w:pPr>
              <w:pStyle w:val="9"/>
              <w:spacing w:before="68" w:line="220" w:lineRule="auto"/>
              <w:jc w:val="center"/>
              <w:rPr>
                <w:rFonts w:hint="default" w:eastAsia="宋体"/>
                <w:spacing w:val="-3"/>
                <w:lang w:val="en-US" w:eastAsia="zh-CN"/>
              </w:rPr>
            </w:pPr>
            <w:r>
              <w:rPr>
                <w:rFonts w:hint="eastAsia"/>
                <w:spacing w:val="-3"/>
                <w:lang w:val="en-US" w:eastAsia="zh-CN"/>
              </w:rPr>
              <w:t>蒸制红枣</w:t>
            </w:r>
          </w:p>
        </w:tc>
        <w:tc>
          <w:tcPr>
            <w:tcW w:w="1256" w:type="dxa"/>
            <w:vMerge w:val="continue"/>
            <w:tcBorders>
              <w:top w:val="nil"/>
              <w:bottom w:val="single" w:color="000000" w:sz="6" w:space="0"/>
              <w:right w:val="single" w:color="000000" w:sz="6" w:space="0"/>
            </w:tcBorders>
            <w:vAlign w:val="top"/>
          </w:tcPr>
          <w:p w14:paraId="5143115F">
            <w:pPr>
              <w:rPr>
                <w:rFonts w:ascii="Arial"/>
                <w:sz w:val="21"/>
              </w:rPr>
            </w:pPr>
          </w:p>
        </w:tc>
      </w:tr>
      <w:tr w14:paraId="1C594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2721" w:type="dxa"/>
            <w:tcBorders>
              <w:top w:val="single" w:color="000000" w:sz="6" w:space="0"/>
              <w:left w:val="single" w:color="000000" w:sz="6" w:space="0"/>
            </w:tcBorders>
            <w:vAlign w:val="top"/>
          </w:tcPr>
          <w:p w14:paraId="03326032">
            <w:pPr>
              <w:pStyle w:val="9"/>
              <w:spacing w:before="66" w:line="214" w:lineRule="auto"/>
              <w:jc w:val="center"/>
            </w:pPr>
            <w:r>
              <w:rPr>
                <w:spacing w:val="-1"/>
              </w:rPr>
              <w:t>水分/（g/100g）</w:t>
            </w:r>
          </w:p>
        </w:tc>
        <w:tc>
          <w:tcPr>
            <w:tcW w:w="739" w:type="dxa"/>
            <w:tcBorders>
              <w:top w:val="single" w:color="000000" w:sz="6" w:space="0"/>
              <w:right w:val="single" w:color="auto" w:sz="4" w:space="0"/>
            </w:tcBorders>
            <w:vAlign w:val="top"/>
          </w:tcPr>
          <w:p w14:paraId="6FFDA1D3">
            <w:pPr>
              <w:pStyle w:val="9"/>
              <w:spacing w:before="67" w:line="236" w:lineRule="auto"/>
              <w:ind w:left="124"/>
              <w:jc w:val="center"/>
            </w:pPr>
            <w:r>
              <w:rPr>
                <w:spacing w:val="-7"/>
              </w:rPr>
              <w:t>≤25</w:t>
            </w:r>
          </w:p>
        </w:tc>
        <w:tc>
          <w:tcPr>
            <w:tcW w:w="1177" w:type="dxa"/>
            <w:tcBorders>
              <w:top w:val="single" w:color="000000" w:sz="6" w:space="0"/>
              <w:left w:val="single" w:color="auto" w:sz="4" w:space="0"/>
              <w:right w:val="single" w:color="auto" w:sz="4" w:space="0"/>
            </w:tcBorders>
            <w:vAlign w:val="top"/>
          </w:tcPr>
          <w:p w14:paraId="41226C8E">
            <w:pPr>
              <w:pStyle w:val="9"/>
              <w:spacing w:before="67" w:line="236" w:lineRule="auto"/>
              <w:ind w:left="124"/>
              <w:jc w:val="center"/>
              <w:rPr>
                <w:rFonts w:hint="eastAsia" w:eastAsia="宋体"/>
                <w:spacing w:val="-7"/>
                <w:lang w:eastAsia="zh-CN"/>
              </w:rPr>
            </w:pPr>
            <w:r>
              <w:rPr>
                <w:spacing w:val="-7"/>
              </w:rPr>
              <w:t>≤</w:t>
            </w:r>
            <w:r>
              <w:rPr>
                <w:rFonts w:hint="eastAsia"/>
                <w:spacing w:val="-7"/>
                <w:lang w:val="en-US" w:eastAsia="zh-CN"/>
              </w:rPr>
              <w:t>7</w:t>
            </w:r>
          </w:p>
        </w:tc>
        <w:tc>
          <w:tcPr>
            <w:tcW w:w="578" w:type="dxa"/>
            <w:tcBorders>
              <w:top w:val="single" w:color="000000" w:sz="6" w:space="0"/>
              <w:left w:val="single" w:color="auto" w:sz="4" w:space="0"/>
            </w:tcBorders>
            <w:vAlign w:val="top"/>
          </w:tcPr>
          <w:p w14:paraId="0D61BDE1">
            <w:pPr>
              <w:pStyle w:val="9"/>
              <w:spacing w:before="67" w:line="236" w:lineRule="auto"/>
              <w:ind w:left="124"/>
              <w:jc w:val="center"/>
              <w:rPr>
                <w:rFonts w:hint="eastAsia" w:eastAsia="宋体"/>
                <w:spacing w:val="-7"/>
                <w:lang w:val="en-US" w:eastAsia="zh-CN"/>
              </w:rPr>
            </w:pPr>
            <w:r>
              <w:rPr>
                <w:spacing w:val="-7"/>
              </w:rPr>
              <w:t>≤</w:t>
            </w:r>
            <w:r>
              <w:rPr>
                <w:rFonts w:hint="eastAsia"/>
                <w:spacing w:val="-7"/>
                <w:lang w:val="en-US" w:eastAsia="zh-CN"/>
              </w:rPr>
              <w:t>5</w:t>
            </w:r>
          </w:p>
        </w:tc>
        <w:tc>
          <w:tcPr>
            <w:tcW w:w="2033" w:type="dxa"/>
            <w:tcBorders>
              <w:top w:val="single" w:color="000000" w:sz="6" w:space="0"/>
              <w:right w:val="single" w:color="auto" w:sz="4" w:space="0"/>
            </w:tcBorders>
            <w:vAlign w:val="top"/>
          </w:tcPr>
          <w:p w14:paraId="181577A0">
            <w:pPr>
              <w:pStyle w:val="9"/>
              <w:spacing w:before="67" w:line="236" w:lineRule="auto"/>
              <w:ind w:left="127"/>
              <w:jc w:val="center"/>
            </w:pPr>
            <w:r>
              <w:rPr>
                <w:spacing w:val="-7"/>
              </w:rPr>
              <w:t>≤25</w:t>
            </w:r>
          </w:p>
        </w:tc>
        <w:tc>
          <w:tcPr>
            <w:tcW w:w="800" w:type="dxa"/>
            <w:tcBorders>
              <w:top w:val="single" w:color="000000" w:sz="6" w:space="0"/>
              <w:left w:val="single" w:color="auto" w:sz="4" w:space="0"/>
            </w:tcBorders>
            <w:vAlign w:val="top"/>
          </w:tcPr>
          <w:p w14:paraId="109B7E5C">
            <w:pPr>
              <w:pStyle w:val="9"/>
              <w:spacing w:before="67" w:line="236" w:lineRule="auto"/>
              <w:ind w:left="127"/>
              <w:jc w:val="center"/>
              <w:rPr>
                <w:rFonts w:hint="default" w:eastAsia="宋体"/>
                <w:spacing w:val="-7"/>
                <w:lang w:val="en-US" w:eastAsia="zh-CN"/>
              </w:rPr>
            </w:pPr>
            <w:r>
              <w:rPr>
                <w:spacing w:val="-7"/>
              </w:rPr>
              <w:t>≤</w:t>
            </w:r>
            <w:r>
              <w:rPr>
                <w:rFonts w:hint="eastAsia"/>
                <w:spacing w:val="-7"/>
                <w:lang w:val="en-US" w:eastAsia="zh-CN"/>
              </w:rPr>
              <w:t>50</w:t>
            </w:r>
          </w:p>
        </w:tc>
        <w:tc>
          <w:tcPr>
            <w:tcW w:w="1256" w:type="dxa"/>
            <w:tcBorders>
              <w:top w:val="single" w:color="000000" w:sz="6" w:space="0"/>
              <w:right w:val="single" w:color="000000" w:sz="6" w:space="0"/>
            </w:tcBorders>
            <w:vAlign w:val="top"/>
          </w:tcPr>
          <w:p w14:paraId="00CB47E9">
            <w:pPr>
              <w:pStyle w:val="9"/>
              <w:spacing w:before="66" w:line="239" w:lineRule="auto"/>
              <w:ind w:left="114"/>
              <w:jc w:val="center"/>
              <w:rPr>
                <w:rFonts w:hint="eastAsia" w:eastAsia="宋体"/>
                <w:lang w:val="en-US" w:eastAsia="zh-CN"/>
              </w:rPr>
            </w:pPr>
            <w:r>
              <w:rPr>
                <w:spacing w:val="-2"/>
              </w:rPr>
              <w:t>GB</w:t>
            </w:r>
            <w:r>
              <w:rPr>
                <w:spacing w:val="12"/>
              </w:rPr>
              <w:t xml:space="preserve"> </w:t>
            </w:r>
            <w:r>
              <w:rPr>
                <w:spacing w:val="-2"/>
              </w:rPr>
              <w:t>5009.3</w:t>
            </w:r>
            <w:r>
              <w:rPr>
                <w:rFonts w:hint="eastAsia"/>
                <w:spacing w:val="-2"/>
                <w:lang w:val="en-US" w:eastAsia="zh-CN"/>
              </w:rPr>
              <w:t xml:space="preserve"> </w:t>
            </w:r>
          </w:p>
        </w:tc>
      </w:tr>
      <w:tr w14:paraId="3AFC6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2721" w:type="dxa"/>
            <w:tcBorders>
              <w:left w:val="single" w:color="000000" w:sz="6" w:space="0"/>
            </w:tcBorders>
            <w:vAlign w:val="top"/>
          </w:tcPr>
          <w:p w14:paraId="63E6F19F">
            <w:pPr>
              <w:pStyle w:val="9"/>
              <w:spacing w:before="73" w:line="214" w:lineRule="auto"/>
              <w:jc w:val="center"/>
            </w:pPr>
            <w:r>
              <w:rPr>
                <w:spacing w:val="-5"/>
              </w:rPr>
              <w:t>酸价（以脂肪计</w:t>
            </w:r>
            <w:r>
              <w:rPr>
                <w:spacing w:val="-49"/>
                <w:w w:val="94"/>
              </w:rPr>
              <w:t>）（</w:t>
            </w:r>
            <w:r>
              <w:rPr>
                <w:spacing w:val="-5"/>
              </w:rPr>
              <w:t>KOH）</w:t>
            </w:r>
            <w:r>
              <w:rPr>
                <w:spacing w:val="-2"/>
                <w:position w:val="9"/>
                <w:sz w:val="8"/>
                <w:szCs w:val="8"/>
              </w:rPr>
              <w:t>a</w:t>
            </w:r>
            <w:r>
              <w:rPr>
                <w:spacing w:val="-5"/>
              </w:rPr>
              <w:t>/(mg/g)</w:t>
            </w:r>
          </w:p>
        </w:tc>
        <w:tc>
          <w:tcPr>
            <w:tcW w:w="739" w:type="dxa"/>
            <w:tcBorders>
              <w:right w:val="single" w:color="auto" w:sz="4" w:space="0"/>
            </w:tcBorders>
            <w:vAlign w:val="top"/>
          </w:tcPr>
          <w:p w14:paraId="2DADA216">
            <w:pPr>
              <w:pStyle w:val="9"/>
              <w:spacing w:before="74" w:line="224" w:lineRule="auto"/>
              <w:ind w:left="110"/>
              <w:jc w:val="center"/>
            </w:pPr>
            <w:r>
              <w:t>/</w:t>
            </w:r>
          </w:p>
        </w:tc>
        <w:tc>
          <w:tcPr>
            <w:tcW w:w="1177" w:type="dxa"/>
            <w:tcBorders>
              <w:left w:val="single" w:color="auto" w:sz="4" w:space="0"/>
              <w:right w:val="single" w:color="auto" w:sz="4" w:space="0"/>
            </w:tcBorders>
            <w:vAlign w:val="top"/>
          </w:tcPr>
          <w:p w14:paraId="4CBC1A1E">
            <w:pPr>
              <w:pStyle w:val="9"/>
              <w:spacing w:before="74" w:line="224" w:lineRule="auto"/>
              <w:ind w:left="110"/>
              <w:jc w:val="center"/>
              <w:rPr>
                <w:rFonts w:hint="default" w:eastAsia="宋体"/>
                <w:lang w:val="en-US" w:eastAsia="zh-CN"/>
              </w:rPr>
            </w:pPr>
            <w:r>
              <w:rPr>
                <w:spacing w:val="-7"/>
              </w:rPr>
              <w:t>≤</w:t>
            </w:r>
            <w:r>
              <w:rPr>
                <w:rFonts w:hint="eastAsia"/>
                <w:spacing w:val="-7"/>
                <w:lang w:val="en-US" w:eastAsia="zh-CN"/>
              </w:rPr>
              <w:t>5.0</w:t>
            </w:r>
          </w:p>
        </w:tc>
        <w:tc>
          <w:tcPr>
            <w:tcW w:w="578" w:type="dxa"/>
            <w:tcBorders>
              <w:left w:val="single" w:color="auto" w:sz="4" w:space="0"/>
            </w:tcBorders>
            <w:shd w:val="clear" w:color="auto" w:fill="auto"/>
            <w:vAlign w:val="top"/>
          </w:tcPr>
          <w:p w14:paraId="6052D219">
            <w:pPr>
              <w:pStyle w:val="9"/>
              <w:spacing w:before="74" w:line="224" w:lineRule="auto"/>
              <w:ind w:left="110" w:leftChars="0"/>
              <w:jc w:val="center"/>
              <w:rPr>
                <w:rFonts w:ascii="宋体" w:hAnsi="宋体" w:eastAsia="宋体" w:cs="宋体"/>
                <w:snapToGrid w:val="0"/>
                <w:color w:val="000000"/>
                <w:kern w:val="0"/>
                <w:sz w:val="18"/>
                <w:szCs w:val="18"/>
                <w:lang w:val="en-US" w:eastAsia="en-US" w:bidi="ar-SA"/>
              </w:rPr>
            </w:pPr>
            <w:r>
              <w:t>/</w:t>
            </w:r>
          </w:p>
        </w:tc>
        <w:tc>
          <w:tcPr>
            <w:tcW w:w="2033" w:type="dxa"/>
            <w:tcBorders>
              <w:right w:val="single" w:color="auto" w:sz="4" w:space="0"/>
            </w:tcBorders>
            <w:vAlign w:val="top"/>
          </w:tcPr>
          <w:p w14:paraId="1A6C277F">
            <w:pPr>
              <w:pStyle w:val="9"/>
              <w:spacing w:before="58" w:line="235" w:lineRule="auto"/>
              <w:ind w:left="111"/>
            </w:pPr>
            <w:r>
              <w:rPr>
                <w:spacing w:val="-3"/>
              </w:rPr>
              <w:t>符合</w:t>
            </w:r>
            <w:r>
              <w:rPr>
                <w:spacing w:val="-44"/>
              </w:rPr>
              <w:t xml:space="preserve"> </w:t>
            </w:r>
            <w:r>
              <w:rPr>
                <w:spacing w:val="-3"/>
              </w:rPr>
              <w:t>GB</w:t>
            </w:r>
            <w:r>
              <w:rPr>
                <w:spacing w:val="-28"/>
              </w:rPr>
              <w:t xml:space="preserve"> </w:t>
            </w:r>
            <w:r>
              <w:rPr>
                <w:spacing w:val="-3"/>
              </w:rPr>
              <w:t>19300</w:t>
            </w:r>
            <w:r>
              <w:rPr>
                <w:spacing w:val="-42"/>
              </w:rPr>
              <w:t xml:space="preserve"> </w:t>
            </w:r>
            <w:r>
              <w:rPr>
                <w:spacing w:val="-3"/>
              </w:rPr>
              <w:t>规定要求</w:t>
            </w:r>
          </w:p>
        </w:tc>
        <w:tc>
          <w:tcPr>
            <w:tcW w:w="800" w:type="dxa"/>
            <w:tcBorders>
              <w:left w:val="single" w:color="auto" w:sz="4" w:space="0"/>
            </w:tcBorders>
            <w:shd w:val="clear" w:color="auto" w:fill="auto"/>
            <w:vAlign w:val="top"/>
          </w:tcPr>
          <w:p w14:paraId="2F162B6B">
            <w:pPr>
              <w:pStyle w:val="9"/>
              <w:spacing w:before="74" w:line="224" w:lineRule="auto"/>
              <w:ind w:left="110" w:leftChars="0"/>
              <w:jc w:val="center"/>
              <w:rPr>
                <w:rFonts w:ascii="宋体" w:hAnsi="宋体" w:eastAsia="宋体" w:cs="宋体"/>
                <w:snapToGrid w:val="0"/>
                <w:color w:val="000000"/>
                <w:kern w:val="0"/>
                <w:sz w:val="18"/>
                <w:szCs w:val="18"/>
                <w:lang w:val="en-US" w:eastAsia="en-US" w:bidi="ar-SA"/>
              </w:rPr>
            </w:pPr>
            <w:r>
              <w:t>/</w:t>
            </w:r>
          </w:p>
        </w:tc>
        <w:tc>
          <w:tcPr>
            <w:tcW w:w="1256" w:type="dxa"/>
            <w:tcBorders>
              <w:right w:val="single" w:color="000000" w:sz="6" w:space="0"/>
            </w:tcBorders>
            <w:vAlign w:val="top"/>
          </w:tcPr>
          <w:p w14:paraId="59429D66">
            <w:pPr>
              <w:pStyle w:val="9"/>
              <w:spacing w:before="73" w:line="239" w:lineRule="auto"/>
              <w:ind w:left="114"/>
              <w:jc w:val="center"/>
            </w:pPr>
            <w:r>
              <w:rPr>
                <w:spacing w:val="-2"/>
              </w:rPr>
              <w:t>GB</w:t>
            </w:r>
            <w:r>
              <w:rPr>
                <w:spacing w:val="16"/>
              </w:rPr>
              <w:t xml:space="preserve"> </w:t>
            </w:r>
            <w:r>
              <w:rPr>
                <w:spacing w:val="-2"/>
              </w:rPr>
              <w:t>5009.229</w:t>
            </w:r>
          </w:p>
        </w:tc>
      </w:tr>
      <w:tr w14:paraId="050C5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2721" w:type="dxa"/>
            <w:tcBorders>
              <w:left w:val="single" w:color="000000" w:sz="6" w:space="0"/>
            </w:tcBorders>
            <w:vAlign w:val="top"/>
          </w:tcPr>
          <w:p w14:paraId="1E8D443E">
            <w:pPr>
              <w:pStyle w:val="9"/>
              <w:spacing w:before="75" w:line="214" w:lineRule="auto"/>
              <w:ind w:right="17"/>
              <w:jc w:val="center"/>
            </w:pPr>
            <w:r>
              <w:rPr>
                <w:spacing w:val="-11"/>
              </w:rPr>
              <w:t>过氧化值（以脂肪计）</w:t>
            </w:r>
            <w:r>
              <w:rPr>
                <w:spacing w:val="-3"/>
                <w:position w:val="8"/>
                <w:sz w:val="8"/>
                <w:szCs w:val="8"/>
              </w:rPr>
              <w:t>a</w:t>
            </w:r>
            <w:r>
              <w:rPr>
                <w:spacing w:val="-13"/>
                <w:position w:val="8"/>
                <w:sz w:val="8"/>
                <w:szCs w:val="8"/>
              </w:rPr>
              <w:t xml:space="preserve"> </w:t>
            </w:r>
            <w:r>
              <w:rPr>
                <w:spacing w:val="-11"/>
              </w:rPr>
              <w:t>/（g/100g）</w:t>
            </w:r>
          </w:p>
        </w:tc>
        <w:tc>
          <w:tcPr>
            <w:tcW w:w="739" w:type="dxa"/>
            <w:tcBorders>
              <w:right w:val="single" w:color="auto" w:sz="4" w:space="0"/>
            </w:tcBorders>
            <w:vAlign w:val="top"/>
          </w:tcPr>
          <w:p w14:paraId="699441E5">
            <w:pPr>
              <w:pStyle w:val="9"/>
              <w:spacing w:before="76" w:line="224" w:lineRule="auto"/>
              <w:ind w:left="110"/>
              <w:jc w:val="center"/>
            </w:pPr>
            <w:r>
              <w:t>/</w:t>
            </w:r>
          </w:p>
        </w:tc>
        <w:tc>
          <w:tcPr>
            <w:tcW w:w="1177" w:type="dxa"/>
            <w:tcBorders>
              <w:left w:val="single" w:color="auto" w:sz="4" w:space="0"/>
              <w:right w:val="single" w:color="auto" w:sz="4" w:space="0"/>
            </w:tcBorders>
            <w:vAlign w:val="top"/>
          </w:tcPr>
          <w:p w14:paraId="3678EF2A">
            <w:pPr>
              <w:pStyle w:val="9"/>
              <w:spacing w:before="76" w:line="224" w:lineRule="auto"/>
              <w:ind w:left="110"/>
              <w:jc w:val="center"/>
              <w:rPr>
                <w:rFonts w:hint="default" w:eastAsia="宋体"/>
                <w:lang w:val="en-US" w:eastAsia="zh-CN"/>
              </w:rPr>
            </w:pPr>
            <w:r>
              <w:rPr>
                <w:spacing w:val="-7"/>
              </w:rPr>
              <w:t>≤</w:t>
            </w:r>
            <w:r>
              <w:rPr>
                <w:rFonts w:hint="eastAsia"/>
                <w:spacing w:val="-7"/>
                <w:lang w:val="en-US" w:eastAsia="zh-CN"/>
              </w:rPr>
              <w:t>0.25</w:t>
            </w:r>
          </w:p>
        </w:tc>
        <w:tc>
          <w:tcPr>
            <w:tcW w:w="578" w:type="dxa"/>
            <w:tcBorders>
              <w:left w:val="single" w:color="auto" w:sz="4" w:space="0"/>
            </w:tcBorders>
            <w:shd w:val="clear" w:color="auto" w:fill="auto"/>
            <w:vAlign w:val="top"/>
          </w:tcPr>
          <w:p w14:paraId="098B48A2">
            <w:pPr>
              <w:pStyle w:val="9"/>
              <w:spacing w:before="76" w:line="224" w:lineRule="auto"/>
              <w:ind w:left="110" w:leftChars="0"/>
              <w:jc w:val="center"/>
              <w:rPr>
                <w:rFonts w:ascii="宋体" w:hAnsi="宋体" w:eastAsia="宋体" w:cs="宋体"/>
                <w:snapToGrid w:val="0"/>
                <w:color w:val="000000"/>
                <w:kern w:val="0"/>
                <w:sz w:val="18"/>
                <w:szCs w:val="18"/>
                <w:lang w:val="en-US" w:eastAsia="en-US" w:bidi="ar-SA"/>
              </w:rPr>
            </w:pPr>
            <w:r>
              <w:t>/</w:t>
            </w:r>
          </w:p>
        </w:tc>
        <w:tc>
          <w:tcPr>
            <w:tcW w:w="2033" w:type="dxa"/>
            <w:tcBorders>
              <w:right w:val="single" w:color="auto" w:sz="4" w:space="0"/>
            </w:tcBorders>
            <w:vAlign w:val="top"/>
          </w:tcPr>
          <w:p w14:paraId="7B58C2A3">
            <w:pPr>
              <w:pStyle w:val="9"/>
              <w:spacing w:before="62" w:line="233" w:lineRule="auto"/>
              <w:ind w:left="111"/>
            </w:pPr>
            <w:r>
              <w:rPr>
                <w:spacing w:val="-3"/>
              </w:rPr>
              <w:t>符合</w:t>
            </w:r>
            <w:r>
              <w:rPr>
                <w:spacing w:val="-44"/>
              </w:rPr>
              <w:t xml:space="preserve"> </w:t>
            </w:r>
            <w:r>
              <w:rPr>
                <w:spacing w:val="-3"/>
              </w:rPr>
              <w:t>GB</w:t>
            </w:r>
            <w:r>
              <w:rPr>
                <w:spacing w:val="-28"/>
              </w:rPr>
              <w:t xml:space="preserve"> </w:t>
            </w:r>
            <w:r>
              <w:rPr>
                <w:spacing w:val="-3"/>
              </w:rPr>
              <w:t>19300</w:t>
            </w:r>
            <w:r>
              <w:rPr>
                <w:spacing w:val="-42"/>
              </w:rPr>
              <w:t xml:space="preserve"> </w:t>
            </w:r>
            <w:r>
              <w:rPr>
                <w:spacing w:val="-3"/>
              </w:rPr>
              <w:t>规定要求</w:t>
            </w:r>
          </w:p>
        </w:tc>
        <w:tc>
          <w:tcPr>
            <w:tcW w:w="800" w:type="dxa"/>
            <w:tcBorders>
              <w:left w:val="single" w:color="auto" w:sz="4" w:space="0"/>
            </w:tcBorders>
            <w:shd w:val="clear" w:color="auto" w:fill="auto"/>
            <w:vAlign w:val="top"/>
          </w:tcPr>
          <w:p w14:paraId="15E85872">
            <w:pPr>
              <w:pStyle w:val="9"/>
              <w:spacing w:before="76" w:line="224" w:lineRule="auto"/>
              <w:ind w:left="110" w:leftChars="0"/>
              <w:jc w:val="center"/>
              <w:rPr>
                <w:rFonts w:ascii="宋体" w:hAnsi="宋体" w:eastAsia="宋体" w:cs="宋体"/>
                <w:snapToGrid w:val="0"/>
                <w:color w:val="000000"/>
                <w:kern w:val="0"/>
                <w:sz w:val="18"/>
                <w:szCs w:val="18"/>
                <w:lang w:val="en-US" w:eastAsia="en-US" w:bidi="ar-SA"/>
              </w:rPr>
            </w:pPr>
            <w:r>
              <w:t>/</w:t>
            </w:r>
          </w:p>
        </w:tc>
        <w:tc>
          <w:tcPr>
            <w:tcW w:w="1256" w:type="dxa"/>
            <w:tcBorders>
              <w:right w:val="single" w:color="000000" w:sz="6" w:space="0"/>
            </w:tcBorders>
            <w:vAlign w:val="top"/>
          </w:tcPr>
          <w:p w14:paraId="41665342">
            <w:pPr>
              <w:pStyle w:val="9"/>
              <w:spacing w:before="75" w:line="239" w:lineRule="auto"/>
              <w:ind w:left="114"/>
              <w:jc w:val="center"/>
            </w:pPr>
            <w:r>
              <w:rPr>
                <w:spacing w:val="-2"/>
              </w:rPr>
              <w:t>GB</w:t>
            </w:r>
            <w:r>
              <w:rPr>
                <w:spacing w:val="16"/>
              </w:rPr>
              <w:t xml:space="preserve"> </w:t>
            </w:r>
            <w:r>
              <w:rPr>
                <w:spacing w:val="-2"/>
              </w:rPr>
              <w:t>5009.227</w:t>
            </w:r>
          </w:p>
        </w:tc>
      </w:tr>
      <w:tr w14:paraId="7326A9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9304" w:type="dxa"/>
            <w:gridSpan w:val="7"/>
            <w:tcBorders>
              <w:left w:val="single" w:color="000000" w:sz="6" w:space="0"/>
              <w:bottom w:val="single" w:color="000000" w:sz="6" w:space="0"/>
              <w:right w:val="single" w:color="000000" w:sz="6" w:space="0"/>
            </w:tcBorders>
            <w:vAlign w:val="top"/>
          </w:tcPr>
          <w:p w14:paraId="05ABF8AC">
            <w:pPr>
              <w:rPr>
                <w:rFonts w:ascii="Arial"/>
                <w:sz w:val="21"/>
              </w:rPr>
            </w:pPr>
            <w:r>
              <w:rPr>
                <w:spacing w:val="-2"/>
                <w:position w:val="8"/>
                <w:sz w:val="8"/>
                <w:szCs w:val="8"/>
              </w:rPr>
              <w:t xml:space="preserve">a </w:t>
            </w:r>
            <w:r>
              <w:rPr>
                <w:rFonts w:ascii="宋体" w:hAnsi="宋体" w:eastAsia="宋体" w:cs="宋体"/>
                <w:snapToGrid w:val="0"/>
                <w:color w:val="000000"/>
                <w:spacing w:val="-11"/>
                <w:kern w:val="0"/>
                <w:sz w:val="18"/>
                <w:szCs w:val="18"/>
                <w:lang w:val="en-US" w:eastAsia="en-US" w:bidi="ar-SA"/>
              </w:rPr>
              <w:t>限夹心</w:t>
            </w:r>
            <w:r>
              <w:rPr>
                <w:rFonts w:hint="eastAsia" w:ascii="宋体" w:hAnsi="宋体" w:eastAsia="宋体" w:cs="宋体"/>
                <w:snapToGrid w:val="0"/>
                <w:color w:val="000000"/>
                <w:spacing w:val="-11"/>
                <w:kern w:val="0"/>
                <w:sz w:val="18"/>
                <w:szCs w:val="18"/>
                <w:lang w:val="en-US" w:eastAsia="zh-CN" w:bidi="ar-SA"/>
              </w:rPr>
              <w:t>（裹衣）红枣</w:t>
            </w:r>
            <w:r>
              <w:rPr>
                <w:rFonts w:ascii="宋体" w:hAnsi="宋体" w:eastAsia="宋体" w:cs="宋体"/>
                <w:snapToGrid w:val="0"/>
                <w:color w:val="000000"/>
                <w:spacing w:val="-11"/>
                <w:kern w:val="0"/>
                <w:sz w:val="18"/>
                <w:szCs w:val="18"/>
                <w:lang w:val="en-US" w:eastAsia="en-US" w:bidi="ar-SA"/>
              </w:rPr>
              <w:t>中的坚果籽仁部分。</w:t>
            </w:r>
          </w:p>
        </w:tc>
      </w:tr>
    </w:tbl>
    <w:p w14:paraId="6BCAE275">
      <w:pPr>
        <w:spacing w:before="209" w:line="232" w:lineRule="auto"/>
        <w:ind w:left="120"/>
        <w:outlineLvl w:val="2"/>
        <w:rPr>
          <w:rFonts w:ascii="黑体" w:hAnsi="黑体" w:eastAsia="黑体" w:cs="黑体"/>
          <w:sz w:val="20"/>
          <w:szCs w:val="20"/>
        </w:rPr>
      </w:pPr>
      <w:r>
        <w:rPr>
          <w:rFonts w:ascii="黑体" w:hAnsi="黑体" w:eastAsia="黑体" w:cs="黑体"/>
          <w:spacing w:val="7"/>
          <w:sz w:val="20"/>
          <w:szCs w:val="20"/>
        </w:rPr>
        <w:t>4.4  微生物限量</w:t>
      </w:r>
    </w:p>
    <w:p w14:paraId="4A53D9D5">
      <w:pPr>
        <w:keepNext w:val="0"/>
        <w:keepLines w:val="0"/>
        <w:pageBreakBefore w:val="0"/>
        <w:widowControl/>
        <w:kinsoku w:val="0"/>
        <w:wordWrap/>
        <w:overflowPunct/>
        <w:topLinePunct w:val="0"/>
        <w:autoSpaceDE w:val="0"/>
        <w:autoSpaceDN w:val="0"/>
        <w:bidi w:val="0"/>
        <w:adjustRightInd w:val="0"/>
        <w:snapToGrid w:val="0"/>
        <w:spacing w:before="216" w:line="360" w:lineRule="auto"/>
        <w:ind w:left="119"/>
        <w:textAlignment w:val="baseline"/>
        <w:outlineLvl w:val="3"/>
        <w:rPr>
          <w:rFonts w:ascii="宋体" w:hAnsi="宋体" w:eastAsia="宋体" w:cs="宋体"/>
          <w:sz w:val="20"/>
          <w:szCs w:val="20"/>
        </w:rPr>
      </w:pPr>
      <w:r>
        <w:rPr>
          <w:rFonts w:ascii="黑体" w:hAnsi="黑体" w:eastAsia="黑体" w:cs="黑体"/>
          <w:spacing w:val="5"/>
          <w:sz w:val="20"/>
          <w:szCs w:val="20"/>
        </w:rPr>
        <w:t xml:space="preserve">4.4.1  </w:t>
      </w:r>
      <w:r>
        <w:rPr>
          <w:rFonts w:ascii="宋体" w:hAnsi="宋体" w:eastAsia="宋体" w:cs="宋体"/>
          <w:spacing w:val="5"/>
          <w:sz w:val="20"/>
          <w:szCs w:val="20"/>
        </w:rPr>
        <w:t>预包装产品致病菌限量应符合</w:t>
      </w:r>
      <w:r>
        <w:rPr>
          <w:rFonts w:ascii="宋体" w:hAnsi="宋体" w:eastAsia="宋体" w:cs="宋体"/>
          <w:sz w:val="20"/>
          <w:szCs w:val="20"/>
        </w:rPr>
        <w:t>GB</w:t>
      </w:r>
      <w:r>
        <w:rPr>
          <w:rFonts w:ascii="宋体" w:hAnsi="宋体" w:eastAsia="宋体" w:cs="宋体"/>
          <w:spacing w:val="-20"/>
          <w:sz w:val="20"/>
          <w:szCs w:val="20"/>
        </w:rPr>
        <w:t xml:space="preserve"> </w:t>
      </w:r>
      <w:r>
        <w:rPr>
          <w:rFonts w:ascii="宋体" w:hAnsi="宋体" w:eastAsia="宋体" w:cs="宋体"/>
          <w:spacing w:val="5"/>
          <w:sz w:val="20"/>
          <w:szCs w:val="20"/>
        </w:rPr>
        <w:t>29921中即食果蔬制品的规定，散装产品致病菌限量应符合</w:t>
      </w:r>
      <w:r>
        <w:rPr>
          <w:rFonts w:ascii="宋体" w:hAnsi="宋体" w:eastAsia="宋体" w:cs="宋体"/>
          <w:sz w:val="20"/>
          <w:szCs w:val="20"/>
        </w:rPr>
        <w:t>GB</w:t>
      </w:r>
      <w:r>
        <w:rPr>
          <w:rFonts w:ascii="宋体" w:hAnsi="宋体" w:eastAsia="宋体" w:cs="宋体"/>
          <w:spacing w:val="-36"/>
          <w:sz w:val="20"/>
          <w:szCs w:val="20"/>
        </w:rPr>
        <w:t xml:space="preserve"> </w:t>
      </w:r>
      <w:r>
        <w:rPr>
          <w:rFonts w:ascii="宋体" w:hAnsi="宋体" w:eastAsia="宋体" w:cs="宋体"/>
          <w:spacing w:val="5"/>
          <w:sz w:val="20"/>
          <w:szCs w:val="20"/>
        </w:rPr>
        <w:t>31607的</w:t>
      </w:r>
      <w:r>
        <w:rPr>
          <w:rFonts w:ascii="宋体" w:hAnsi="宋体" w:eastAsia="宋体" w:cs="宋体"/>
          <w:spacing w:val="2"/>
          <w:sz w:val="20"/>
          <w:szCs w:val="20"/>
        </w:rPr>
        <w:t>规定。</w:t>
      </w:r>
    </w:p>
    <w:p w14:paraId="25E57905">
      <w:pPr>
        <w:spacing w:before="114" w:line="228" w:lineRule="auto"/>
        <w:ind w:left="125"/>
        <w:rPr>
          <w:rFonts w:ascii="宋体" w:hAnsi="宋体" w:eastAsia="宋体" w:cs="宋体"/>
          <w:sz w:val="20"/>
          <w:szCs w:val="20"/>
        </w:rPr>
      </w:pPr>
      <w:r>
        <w:rPr>
          <w:rFonts w:hint="eastAsia" w:ascii="黑体" w:hAnsi="黑体" w:eastAsia="黑体" w:cs="黑体"/>
          <w:b w:val="0"/>
          <w:bCs w:val="0"/>
          <w:spacing w:val="7"/>
          <w:sz w:val="20"/>
          <w:szCs w:val="20"/>
        </w:rPr>
        <w:t>4.4.2</w:t>
      </w:r>
      <w:r>
        <w:rPr>
          <w:rFonts w:ascii="宋体" w:hAnsi="宋体" w:eastAsia="宋体" w:cs="宋体"/>
          <w:spacing w:val="7"/>
          <w:sz w:val="20"/>
          <w:szCs w:val="20"/>
        </w:rPr>
        <w:t xml:space="preserve">  </w:t>
      </w:r>
      <w:r>
        <w:rPr>
          <w:rFonts w:hint="eastAsia" w:ascii="宋体" w:hAnsi="宋体" w:eastAsia="宋体" w:cs="宋体"/>
          <w:spacing w:val="7"/>
          <w:sz w:val="20"/>
          <w:szCs w:val="20"/>
          <w:lang w:val="en-US" w:eastAsia="zh-CN"/>
        </w:rPr>
        <w:t xml:space="preserve">其他微生物限量应符合GB </w:t>
      </w:r>
      <w:r>
        <w:rPr>
          <w:rFonts w:ascii="宋体" w:hAnsi="宋体" w:eastAsia="宋体" w:cs="宋体"/>
          <w:spacing w:val="7"/>
          <w:sz w:val="20"/>
          <w:szCs w:val="20"/>
        </w:rPr>
        <w:t>16325和国家有关规定，并应符合表3的规定。</w:t>
      </w:r>
    </w:p>
    <w:p w14:paraId="05C58DB9">
      <w:pPr>
        <w:spacing w:before="247" w:line="231" w:lineRule="auto"/>
        <w:ind w:left="3991"/>
        <w:rPr>
          <w:rFonts w:ascii="黑体" w:hAnsi="黑体" w:eastAsia="黑体" w:cs="黑体"/>
          <w:sz w:val="20"/>
          <w:szCs w:val="20"/>
        </w:rPr>
      </w:pPr>
      <w:r>
        <w:rPr>
          <w:rFonts w:ascii="黑体" w:hAnsi="黑体" w:eastAsia="黑体" w:cs="黑体"/>
          <w:spacing w:val="4"/>
          <w:sz w:val="20"/>
          <w:szCs w:val="20"/>
        </w:rPr>
        <w:t>表</w:t>
      </w:r>
      <w:r>
        <w:rPr>
          <w:rFonts w:ascii="黑体" w:hAnsi="黑体" w:eastAsia="黑体" w:cs="黑体"/>
          <w:spacing w:val="-33"/>
          <w:sz w:val="20"/>
          <w:szCs w:val="20"/>
        </w:rPr>
        <w:t xml:space="preserve"> </w:t>
      </w:r>
      <w:r>
        <w:rPr>
          <w:rFonts w:ascii="黑体" w:hAnsi="黑体" w:eastAsia="黑体" w:cs="黑体"/>
          <w:spacing w:val="4"/>
          <w:sz w:val="20"/>
          <w:szCs w:val="20"/>
        </w:rPr>
        <w:t>3</w:t>
      </w:r>
      <w:r>
        <w:rPr>
          <w:rFonts w:ascii="黑体" w:hAnsi="黑体" w:eastAsia="黑体" w:cs="黑体"/>
          <w:spacing w:val="9"/>
          <w:sz w:val="20"/>
          <w:szCs w:val="20"/>
        </w:rPr>
        <w:t xml:space="preserve">  </w:t>
      </w:r>
      <w:r>
        <w:rPr>
          <w:rFonts w:ascii="黑体" w:hAnsi="黑体" w:eastAsia="黑体" w:cs="黑体"/>
          <w:spacing w:val="4"/>
          <w:sz w:val="20"/>
          <w:szCs w:val="20"/>
        </w:rPr>
        <w:t>微生物指标</w:t>
      </w:r>
    </w:p>
    <w:p w14:paraId="3765B2AA">
      <w:pPr>
        <w:spacing w:line="165" w:lineRule="exact"/>
      </w:pPr>
    </w:p>
    <w:tbl>
      <w:tblPr>
        <w:tblStyle w:val="8"/>
        <w:tblW w:w="927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98"/>
        <w:gridCol w:w="1173"/>
        <w:gridCol w:w="1198"/>
        <w:gridCol w:w="1135"/>
        <w:gridCol w:w="1140"/>
        <w:gridCol w:w="2335"/>
      </w:tblGrid>
      <w:tr w14:paraId="4E7FE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2298" w:type="dxa"/>
            <w:vMerge w:val="restart"/>
            <w:tcBorders>
              <w:top w:val="single" w:color="000000" w:sz="6" w:space="0"/>
              <w:left w:val="single" w:color="000000" w:sz="6" w:space="0"/>
              <w:bottom w:val="nil"/>
            </w:tcBorders>
            <w:vAlign w:val="top"/>
          </w:tcPr>
          <w:p w14:paraId="6F2D9C2F">
            <w:pPr>
              <w:spacing w:line="368" w:lineRule="auto"/>
              <w:rPr>
                <w:rFonts w:ascii="Arial"/>
                <w:sz w:val="21"/>
              </w:rPr>
            </w:pPr>
          </w:p>
          <w:p w14:paraId="193F83EB">
            <w:pPr>
              <w:pStyle w:val="9"/>
              <w:spacing w:before="59" w:line="220" w:lineRule="auto"/>
              <w:ind w:left="789"/>
            </w:pPr>
            <w:r>
              <w:rPr>
                <w:spacing w:val="-5"/>
              </w:rPr>
              <w:t>项</w:t>
            </w:r>
            <w:r>
              <w:rPr>
                <w:spacing w:val="10"/>
              </w:rPr>
              <w:t xml:space="preserve">    </w:t>
            </w:r>
            <w:r>
              <w:rPr>
                <w:spacing w:val="-5"/>
              </w:rPr>
              <w:t>目</w:t>
            </w:r>
          </w:p>
        </w:tc>
        <w:tc>
          <w:tcPr>
            <w:tcW w:w="4646" w:type="dxa"/>
            <w:gridSpan w:val="4"/>
            <w:tcBorders>
              <w:top w:val="single" w:color="000000" w:sz="6" w:space="0"/>
            </w:tcBorders>
            <w:vAlign w:val="top"/>
          </w:tcPr>
          <w:p w14:paraId="26A3B631">
            <w:pPr>
              <w:pStyle w:val="9"/>
              <w:spacing w:before="212" w:line="229" w:lineRule="auto"/>
              <w:ind w:left="379"/>
              <w:outlineLvl w:val="2"/>
            </w:pPr>
            <w:r>
              <w:rPr>
                <w:spacing w:val="-1"/>
              </w:rPr>
              <w:t>采样方案</w:t>
            </w:r>
            <w:r>
              <w:rPr>
                <w:spacing w:val="-41"/>
              </w:rPr>
              <w:t xml:space="preserve"> </w:t>
            </w:r>
            <w:r>
              <w:rPr>
                <w:spacing w:val="-1"/>
                <w:position w:val="9"/>
                <w:sz w:val="8"/>
                <w:szCs w:val="8"/>
              </w:rPr>
              <w:t>a</w:t>
            </w:r>
            <w:r>
              <w:rPr>
                <w:spacing w:val="-11"/>
                <w:position w:val="9"/>
                <w:sz w:val="8"/>
                <w:szCs w:val="8"/>
              </w:rPr>
              <w:t xml:space="preserve"> </w:t>
            </w:r>
            <w:r>
              <w:rPr>
                <w:spacing w:val="-1"/>
              </w:rPr>
              <w:t>及限量（若非指定，均以</w:t>
            </w:r>
            <w:r>
              <w:rPr>
                <w:spacing w:val="-39"/>
              </w:rPr>
              <w:t xml:space="preserve"> </w:t>
            </w:r>
            <w:r>
              <w:rPr>
                <w:spacing w:val="-1"/>
              </w:rPr>
              <w:t>CFU/g</w:t>
            </w:r>
            <w:r>
              <w:rPr>
                <w:spacing w:val="-40"/>
              </w:rPr>
              <w:t xml:space="preserve"> </w:t>
            </w:r>
            <w:r>
              <w:rPr>
                <w:spacing w:val="-1"/>
              </w:rPr>
              <w:t>表示）</w:t>
            </w:r>
          </w:p>
        </w:tc>
        <w:tc>
          <w:tcPr>
            <w:tcW w:w="2335" w:type="dxa"/>
            <w:vMerge w:val="restart"/>
            <w:tcBorders>
              <w:top w:val="single" w:color="000000" w:sz="6" w:space="0"/>
              <w:bottom w:val="nil"/>
              <w:right w:val="single" w:color="000000" w:sz="6" w:space="0"/>
            </w:tcBorders>
            <w:vAlign w:val="top"/>
          </w:tcPr>
          <w:p w14:paraId="125E4601">
            <w:pPr>
              <w:spacing w:line="368" w:lineRule="auto"/>
              <w:rPr>
                <w:rFonts w:ascii="Arial"/>
                <w:sz w:val="21"/>
              </w:rPr>
            </w:pPr>
          </w:p>
          <w:p w14:paraId="16106EF2">
            <w:pPr>
              <w:pStyle w:val="9"/>
              <w:spacing w:before="59" w:line="219" w:lineRule="auto"/>
              <w:ind w:left="812"/>
            </w:pPr>
            <w:r>
              <w:rPr>
                <w:spacing w:val="-2"/>
              </w:rPr>
              <w:t>检验方法</w:t>
            </w:r>
          </w:p>
        </w:tc>
      </w:tr>
      <w:tr w14:paraId="19361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298" w:type="dxa"/>
            <w:vMerge w:val="continue"/>
            <w:tcBorders>
              <w:top w:val="nil"/>
              <w:left w:val="single" w:color="000000" w:sz="6" w:space="0"/>
              <w:bottom w:val="single" w:color="000000" w:sz="6" w:space="0"/>
            </w:tcBorders>
            <w:vAlign w:val="top"/>
          </w:tcPr>
          <w:p w14:paraId="48B63B3F">
            <w:pPr>
              <w:rPr>
                <w:rFonts w:ascii="Arial"/>
                <w:sz w:val="21"/>
              </w:rPr>
            </w:pPr>
          </w:p>
        </w:tc>
        <w:tc>
          <w:tcPr>
            <w:tcW w:w="1173" w:type="dxa"/>
            <w:tcBorders>
              <w:bottom w:val="single" w:color="000000" w:sz="6" w:space="0"/>
            </w:tcBorders>
            <w:vAlign w:val="top"/>
          </w:tcPr>
          <w:p w14:paraId="058DC2F3">
            <w:pPr>
              <w:pStyle w:val="9"/>
              <w:spacing w:before="179" w:line="139" w:lineRule="exact"/>
              <w:ind w:left="541"/>
            </w:pPr>
            <w:r>
              <w:t>n</w:t>
            </w:r>
          </w:p>
        </w:tc>
        <w:tc>
          <w:tcPr>
            <w:tcW w:w="1198" w:type="dxa"/>
            <w:tcBorders>
              <w:bottom w:val="single" w:color="000000" w:sz="6" w:space="0"/>
            </w:tcBorders>
            <w:vAlign w:val="top"/>
          </w:tcPr>
          <w:p w14:paraId="390F2284">
            <w:pPr>
              <w:pStyle w:val="9"/>
              <w:spacing w:before="110"/>
              <w:ind w:left="562"/>
            </w:pPr>
            <w:r>
              <w:t>c</w:t>
            </w:r>
          </w:p>
        </w:tc>
        <w:tc>
          <w:tcPr>
            <w:tcW w:w="1135" w:type="dxa"/>
            <w:tcBorders>
              <w:bottom w:val="single" w:color="000000" w:sz="6" w:space="0"/>
            </w:tcBorders>
            <w:vAlign w:val="top"/>
          </w:tcPr>
          <w:p w14:paraId="626738D6">
            <w:pPr>
              <w:pStyle w:val="9"/>
              <w:spacing w:before="111" w:line="241" w:lineRule="auto"/>
              <w:ind w:left="521"/>
            </w:pPr>
            <w:r>
              <w:t>m</w:t>
            </w:r>
          </w:p>
        </w:tc>
        <w:tc>
          <w:tcPr>
            <w:tcW w:w="1140" w:type="dxa"/>
            <w:tcBorders>
              <w:bottom w:val="single" w:color="000000" w:sz="6" w:space="0"/>
            </w:tcBorders>
            <w:vAlign w:val="top"/>
          </w:tcPr>
          <w:p w14:paraId="584ACB53">
            <w:pPr>
              <w:pStyle w:val="9"/>
              <w:spacing w:before="140" w:line="182" w:lineRule="auto"/>
              <w:ind w:left="526"/>
            </w:pPr>
            <w:r>
              <w:t>M</w:t>
            </w:r>
          </w:p>
        </w:tc>
        <w:tc>
          <w:tcPr>
            <w:tcW w:w="2335" w:type="dxa"/>
            <w:vMerge w:val="continue"/>
            <w:tcBorders>
              <w:top w:val="nil"/>
              <w:bottom w:val="single" w:color="000000" w:sz="6" w:space="0"/>
              <w:right w:val="single" w:color="000000" w:sz="6" w:space="0"/>
            </w:tcBorders>
            <w:vAlign w:val="top"/>
          </w:tcPr>
          <w:p w14:paraId="00C52A9C">
            <w:pPr>
              <w:rPr>
                <w:rFonts w:ascii="Arial"/>
                <w:sz w:val="21"/>
              </w:rPr>
            </w:pPr>
          </w:p>
        </w:tc>
      </w:tr>
      <w:tr w14:paraId="0EC73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2298" w:type="dxa"/>
            <w:tcBorders>
              <w:top w:val="single" w:color="000000" w:sz="6" w:space="0"/>
              <w:left w:val="single" w:color="000000" w:sz="6" w:space="0"/>
            </w:tcBorders>
            <w:vAlign w:val="top"/>
          </w:tcPr>
          <w:p w14:paraId="1E8CE84E">
            <w:pPr>
              <w:pStyle w:val="9"/>
              <w:spacing w:before="35" w:line="256" w:lineRule="exact"/>
              <w:ind w:left="742"/>
              <w:rPr>
                <w:sz w:val="10"/>
                <w:szCs w:val="10"/>
              </w:rPr>
            </w:pPr>
            <w:r>
              <w:rPr>
                <w:spacing w:val="-3"/>
                <w:position w:val="1"/>
              </w:rPr>
              <w:t>菌落总数</w:t>
            </w:r>
            <w:r>
              <w:rPr>
                <w:spacing w:val="-39"/>
                <w:position w:val="1"/>
              </w:rPr>
              <w:t xml:space="preserve"> </w:t>
            </w:r>
            <w:r>
              <w:rPr>
                <w:spacing w:val="-3"/>
                <w:position w:val="10"/>
                <w:sz w:val="10"/>
                <w:szCs w:val="10"/>
              </w:rPr>
              <w:t>b</w:t>
            </w:r>
          </w:p>
        </w:tc>
        <w:tc>
          <w:tcPr>
            <w:tcW w:w="1173" w:type="dxa"/>
            <w:tcBorders>
              <w:top w:val="single" w:color="000000" w:sz="6" w:space="0"/>
            </w:tcBorders>
            <w:vAlign w:val="top"/>
          </w:tcPr>
          <w:p w14:paraId="2BD41C7B">
            <w:pPr>
              <w:pStyle w:val="9"/>
              <w:spacing w:before="67" w:line="239" w:lineRule="auto"/>
              <w:ind w:left="547"/>
            </w:pPr>
            <w:r>
              <w:t>5</w:t>
            </w:r>
          </w:p>
        </w:tc>
        <w:tc>
          <w:tcPr>
            <w:tcW w:w="1198" w:type="dxa"/>
            <w:tcBorders>
              <w:top w:val="single" w:color="000000" w:sz="6" w:space="0"/>
            </w:tcBorders>
            <w:vAlign w:val="top"/>
          </w:tcPr>
          <w:p w14:paraId="12E3BCA0">
            <w:pPr>
              <w:pStyle w:val="9"/>
              <w:spacing w:before="67" w:line="239" w:lineRule="auto"/>
              <w:ind w:left="560"/>
            </w:pPr>
            <w:r>
              <w:t>2</w:t>
            </w:r>
          </w:p>
        </w:tc>
        <w:tc>
          <w:tcPr>
            <w:tcW w:w="1135" w:type="dxa"/>
            <w:tcBorders>
              <w:top w:val="single" w:color="000000" w:sz="6" w:space="0"/>
            </w:tcBorders>
            <w:vAlign w:val="top"/>
          </w:tcPr>
          <w:p w14:paraId="0515383D">
            <w:pPr>
              <w:pStyle w:val="9"/>
              <w:spacing w:before="52" w:line="248" w:lineRule="exact"/>
              <w:ind w:left="472"/>
              <w:rPr>
                <w:sz w:val="8"/>
                <w:szCs w:val="8"/>
              </w:rPr>
            </w:pPr>
            <w:r>
              <w:rPr>
                <w:spacing w:val="-10"/>
              </w:rPr>
              <w:t>10</w:t>
            </w:r>
            <w:r>
              <w:rPr>
                <w:spacing w:val="3"/>
                <w:position w:val="9"/>
                <w:sz w:val="8"/>
                <w:szCs w:val="8"/>
              </w:rPr>
              <w:t>3</w:t>
            </w:r>
          </w:p>
        </w:tc>
        <w:tc>
          <w:tcPr>
            <w:tcW w:w="1140" w:type="dxa"/>
            <w:tcBorders>
              <w:top w:val="single" w:color="000000" w:sz="6" w:space="0"/>
            </w:tcBorders>
            <w:vAlign w:val="top"/>
          </w:tcPr>
          <w:p w14:paraId="5F638ECD">
            <w:pPr>
              <w:pStyle w:val="9"/>
              <w:spacing w:before="52" w:line="248" w:lineRule="exact"/>
              <w:ind w:left="477"/>
              <w:rPr>
                <w:sz w:val="8"/>
                <w:szCs w:val="8"/>
              </w:rPr>
            </w:pPr>
            <w:r>
              <w:rPr>
                <w:spacing w:val="-10"/>
              </w:rPr>
              <w:t>10</w:t>
            </w:r>
            <w:r>
              <w:rPr>
                <w:spacing w:val="3"/>
                <w:position w:val="9"/>
                <w:sz w:val="8"/>
                <w:szCs w:val="8"/>
              </w:rPr>
              <w:t>4</w:t>
            </w:r>
          </w:p>
        </w:tc>
        <w:tc>
          <w:tcPr>
            <w:tcW w:w="2335" w:type="dxa"/>
            <w:tcBorders>
              <w:top w:val="single" w:color="000000" w:sz="6" w:space="0"/>
              <w:right w:val="single" w:color="000000" w:sz="6" w:space="0"/>
            </w:tcBorders>
            <w:vAlign w:val="top"/>
          </w:tcPr>
          <w:p w14:paraId="6147DDAA">
            <w:pPr>
              <w:pStyle w:val="9"/>
              <w:spacing w:before="67" w:line="239" w:lineRule="auto"/>
              <w:jc w:val="center"/>
              <w:rPr>
                <w:rFonts w:hint="default" w:eastAsia="宋体"/>
                <w:lang w:val="en-US" w:eastAsia="zh-CN"/>
              </w:rPr>
            </w:pPr>
            <w:r>
              <w:rPr>
                <w:spacing w:val="-2"/>
              </w:rPr>
              <w:t>GB</w:t>
            </w:r>
            <w:r>
              <w:rPr>
                <w:spacing w:val="12"/>
              </w:rPr>
              <w:t xml:space="preserve"> </w:t>
            </w:r>
            <w:r>
              <w:rPr>
                <w:spacing w:val="-2"/>
              </w:rPr>
              <w:t>4789.2</w:t>
            </w:r>
          </w:p>
        </w:tc>
      </w:tr>
      <w:tr w14:paraId="114DF5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2298" w:type="dxa"/>
            <w:tcBorders>
              <w:left w:val="single" w:color="000000" w:sz="6" w:space="0"/>
            </w:tcBorders>
            <w:vAlign w:val="top"/>
          </w:tcPr>
          <w:p w14:paraId="1C601276">
            <w:pPr>
              <w:pStyle w:val="9"/>
              <w:spacing w:before="73" w:line="219" w:lineRule="auto"/>
              <w:ind w:left="788"/>
            </w:pPr>
            <w:r>
              <w:rPr>
                <w:spacing w:val="-3"/>
              </w:rPr>
              <w:t>大肠菌群</w:t>
            </w:r>
          </w:p>
        </w:tc>
        <w:tc>
          <w:tcPr>
            <w:tcW w:w="1173" w:type="dxa"/>
            <w:vAlign w:val="top"/>
          </w:tcPr>
          <w:p w14:paraId="432967B4">
            <w:pPr>
              <w:pStyle w:val="9"/>
              <w:spacing w:before="73" w:line="237" w:lineRule="auto"/>
              <w:ind w:left="547"/>
            </w:pPr>
            <w:r>
              <w:t>5</w:t>
            </w:r>
          </w:p>
        </w:tc>
        <w:tc>
          <w:tcPr>
            <w:tcW w:w="1198" w:type="dxa"/>
            <w:vAlign w:val="top"/>
          </w:tcPr>
          <w:p w14:paraId="50E55D4E">
            <w:pPr>
              <w:pStyle w:val="9"/>
              <w:spacing w:before="73" w:line="237" w:lineRule="auto"/>
              <w:ind w:left="560"/>
            </w:pPr>
            <w:r>
              <w:t>2</w:t>
            </w:r>
          </w:p>
        </w:tc>
        <w:tc>
          <w:tcPr>
            <w:tcW w:w="1135" w:type="dxa"/>
            <w:vAlign w:val="top"/>
          </w:tcPr>
          <w:p w14:paraId="45158C0F">
            <w:pPr>
              <w:pStyle w:val="9"/>
              <w:spacing w:before="73" w:line="237" w:lineRule="auto"/>
              <w:ind w:left="496"/>
            </w:pPr>
            <w:r>
              <w:rPr>
                <w:spacing w:val="-10"/>
              </w:rPr>
              <w:t>10</w:t>
            </w:r>
          </w:p>
        </w:tc>
        <w:tc>
          <w:tcPr>
            <w:tcW w:w="1140" w:type="dxa"/>
            <w:vAlign w:val="top"/>
          </w:tcPr>
          <w:p w14:paraId="70684033">
            <w:pPr>
              <w:pStyle w:val="9"/>
              <w:spacing w:before="60" w:line="245" w:lineRule="exact"/>
              <w:ind w:left="477"/>
              <w:rPr>
                <w:sz w:val="8"/>
                <w:szCs w:val="8"/>
              </w:rPr>
            </w:pPr>
            <w:r>
              <w:rPr>
                <w:spacing w:val="-10"/>
              </w:rPr>
              <w:t>10</w:t>
            </w:r>
            <w:r>
              <w:rPr>
                <w:spacing w:val="3"/>
                <w:position w:val="8"/>
                <w:sz w:val="8"/>
                <w:szCs w:val="8"/>
              </w:rPr>
              <w:t>2</w:t>
            </w:r>
          </w:p>
        </w:tc>
        <w:tc>
          <w:tcPr>
            <w:tcW w:w="2335" w:type="dxa"/>
            <w:tcBorders>
              <w:right w:val="single" w:color="000000" w:sz="6" w:space="0"/>
            </w:tcBorders>
            <w:vAlign w:val="top"/>
          </w:tcPr>
          <w:p w14:paraId="6DCFFE5C">
            <w:pPr>
              <w:pStyle w:val="9"/>
              <w:spacing w:before="73" w:line="219" w:lineRule="auto"/>
              <w:jc w:val="center"/>
            </w:pPr>
            <w:r>
              <w:rPr>
                <w:spacing w:val="-1"/>
              </w:rPr>
              <w:t>GB 4789.3</w:t>
            </w:r>
            <w:r>
              <w:rPr>
                <w:spacing w:val="-38"/>
              </w:rPr>
              <w:t xml:space="preserve"> </w:t>
            </w:r>
            <w:r>
              <w:rPr>
                <w:spacing w:val="-1"/>
              </w:rPr>
              <w:t>平板计数法</w:t>
            </w:r>
          </w:p>
        </w:tc>
      </w:tr>
      <w:tr w14:paraId="5A43A7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9279" w:type="dxa"/>
            <w:gridSpan w:val="6"/>
            <w:tcBorders>
              <w:left w:val="single" w:color="000000" w:sz="6" w:space="0"/>
              <w:bottom w:val="single" w:color="000000" w:sz="6" w:space="0"/>
              <w:right w:val="single" w:color="000000" w:sz="6" w:space="0"/>
            </w:tcBorders>
            <w:vAlign w:val="top"/>
          </w:tcPr>
          <w:p w14:paraId="0F67E2DD">
            <w:pPr>
              <w:pStyle w:val="9"/>
              <w:spacing w:before="63" w:line="232" w:lineRule="auto"/>
              <w:ind w:left="106"/>
            </w:pPr>
            <w:r>
              <w:rPr>
                <w:spacing w:val="-1"/>
                <w:position w:val="8"/>
                <w:sz w:val="8"/>
                <w:szCs w:val="8"/>
              </w:rPr>
              <w:t>a</w:t>
            </w:r>
            <w:r>
              <w:rPr>
                <w:spacing w:val="-7"/>
                <w:position w:val="8"/>
                <w:sz w:val="8"/>
                <w:szCs w:val="8"/>
              </w:rPr>
              <w:t xml:space="preserve"> </w:t>
            </w:r>
            <w:r>
              <w:rPr>
                <w:spacing w:val="-1"/>
              </w:rPr>
              <w:t>样品采集及处理按</w:t>
            </w:r>
            <w:r>
              <w:rPr>
                <w:spacing w:val="-42"/>
              </w:rPr>
              <w:t xml:space="preserve"> </w:t>
            </w:r>
            <w:r>
              <w:rPr>
                <w:spacing w:val="-1"/>
              </w:rPr>
              <w:t>GB 4789.1</w:t>
            </w:r>
            <w:r>
              <w:rPr>
                <w:spacing w:val="-38"/>
              </w:rPr>
              <w:t xml:space="preserve"> </w:t>
            </w:r>
            <w:r>
              <w:rPr>
                <w:spacing w:val="-1"/>
              </w:rPr>
              <w:t>执行；</w:t>
            </w:r>
          </w:p>
          <w:p w14:paraId="16AE4538">
            <w:pPr>
              <w:pStyle w:val="9"/>
              <w:spacing w:before="86" w:line="233" w:lineRule="auto"/>
              <w:ind w:left="105"/>
              <w:rPr>
                <w:rFonts w:hint="eastAsia" w:eastAsia="宋体"/>
                <w:lang w:eastAsia="zh-CN"/>
              </w:rPr>
            </w:pPr>
            <w:r>
              <w:rPr>
                <w:spacing w:val="-1"/>
                <w:position w:val="8"/>
                <w:sz w:val="8"/>
                <w:szCs w:val="8"/>
              </w:rPr>
              <w:t>b</w:t>
            </w:r>
            <w:r>
              <w:rPr>
                <w:spacing w:val="-6"/>
                <w:position w:val="8"/>
                <w:sz w:val="8"/>
                <w:szCs w:val="8"/>
              </w:rPr>
              <w:t xml:space="preserve"> </w:t>
            </w:r>
            <w:r>
              <w:rPr>
                <w:spacing w:val="-1"/>
              </w:rPr>
              <w:t>不适用于夹心</w:t>
            </w:r>
            <w:r>
              <w:rPr>
                <w:rFonts w:hint="eastAsia"/>
                <w:spacing w:val="-1"/>
                <w:lang w:eastAsia="zh-CN"/>
              </w:rPr>
              <w:t>（</w:t>
            </w:r>
            <w:r>
              <w:rPr>
                <w:rFonts w:hint="eastAsia"/>
                <w:spacing w:val="-1"/>
                <w:lang w:val="en-US" w:eastAsia="zh-CN"/>
              </w:rPr>
              <w:t>裹衣</w:t>
            </w:r>
            <w:r>
              <w:rPr>
                <w:rFonts w:hint="eastAsia"/>
                <w:spacing w:val="-1"/>
                <w:lang w:eastAsia="zh-CN"/>
              </w:rPr>
              <w:t>）红枣。</w:t>
            </w:r>
          </w:p>
        </w:tc>
      </w:tr>
    </w:tbl>
    <w:p w14:paraId="1C1196F0">
      <w:pPr>
        <w:spacing w:before="221" w:line="230" w:lineRule="auto"/>
        <w:outlineLvl w:val="2"/>
        <w:rPr>
          <w:rFonts w:ascii="黑体" w:hAnsi="黑体" w:eastAsia="黑体" w:cs="黑体"/>
          <w:sz w:val="20"/>
          <w:szCs w:val="20"/>
        </w:rPr>
      </w:pPr>
      <w:r>
        <w:rPr>
          <w:rFonts w:ascii="黑体" w:hAnsi="黑体" w:eastAsia="黑体" w:cs="黑体"/>
          <w:spacing w:val="7"/>
          <w:sz w:val="20"/>
          <w:szCs w:val="20"/>
        </w:rPr>
        <w:t>4.5  食品添加剂限量</w:t>
      </w:r>
    </w:p>
    <w:p w14:paraId="29309B94">
      <w:pPr>
        <w:spacing w:before="219" w:line="227" w:lineRule="auto"/>
        <w:ind w:firstLine="432" w:firstLineChars="200"/>
        <w:rPr>
          <w:rFonts w:ascii="宋体" w:hAnsi="宋体" w:eastAsia="宋体" w:cs="宋体"/>
          <w:sz w:val="20"/>
          <w:szCs w:val="20"/>
        </w:rPr>
      </w:pPr>
      <w:r>
        <w:rPr>
          <w:rFonts w:ascii="宋体" w:hAnsi="宋体" w:eastAsia="宋体" w:cs="宋体"/>
          <w:spacing w:val="8"/>
          <w:sz w:val="20"/>
          <w:szCs w:val="20"/>
        </w:rPr>
        <w:t>食品添加剂的品种和使用量应符合</w:t>
      </w:r>
      <w:r>
        <w:rPr>
          <w:rFonts w:ascii="宋体" w:hAnsi="宋体" w:eastAsia="宋体" w:cs="宋体"/>
          <w:sz w:val="20"/>
          <w:szCs w:val="20"/>
        </w:rPr>
        <w:t>GB</w:t>
      </w:r>
      <w:r>
        <w:rPr>
          <w:rFonts w:ascii="宋体" w:hAnsi="宋体" w:eastAsia="宋体" w:cs="宋体"/>
          <w:spacing w:val="8"/>
          <w:sz w:val="20"/>
          <w:szCs w:val="20"/>
        </w:rPr>
        <w:t xml:space="preserve"> 2760的规定。</w:t>
      </w:r>
    </w:p>
    <w:p w14:paraId="37E8F9A7">
      <w:pPr>
        <w:spacing w:before="222" w:line="232" w:lineRule="auto"/>
        <w:outlineLvl w:val="2"/>
        <w:rPr>
          <w:rFonts w:ascii="黑体" w:hAnsi="黑体" w:eastAsia="黑体" w:cs="黑体"/>
          <w:sz w:val="20"/>
          <w:szCs w:val="20"/>
        </w:rPr>
      </w:pPr>
      <w:r>
        <w:rPr>
          <w:rFonts w:ascii="黑体" w:hAnsi="黑体" w:eastAsia="黑体" w:cs="黑体"/>
          <w:spacing w:val="7"/>
          <w:sz w:val="20"/>
          <w:szCs w:val="20"/>
        </w:rPr>
        <w:t>4.6  真菌毒素限量</w:t>
      </w:r>
    </w:p>
    <w:p w14:paraId="4F0B919F">
      <w:pPr>
        <w:spacing w:before="216" w:line="228" w:lineRule="auto"/>
        <w:ind w:firstLine="424" w:firstLineChars="200"/>
        <w:jc w:val="left"/>
        <w:rPr>
          <w:rFonts w:ascii="宋体" w:hAnsi="宋体" w:eastAsia="宋体" w:cs="宋体"/>
          <w:sz w:val="20"/>
          <w:szCs w:val="20"/>
        </w:rPr>
      </w:pPr>
      <w:r>
        <w:rPr>
          <w:rFonts w:ascii="宋体" w:hAnsi="宋体" w:eastAsia="宋体" w:cs="宋体"/>
          <w:spacing w:val="6"/>
          <w:sz w:val="20"/>
          <w:szCs w:val="20"/>
        </w:rPr>
        <w:t>真菌毒素限量应符合</w:t>
      </w:r>
      <w:r>
        <w:rPr>
          <w:rFonts w:ascii="宋体" w:hAnsi="宋体" w:eastAsia="宋体" w:cs="宋体"/>
          <w:sz w:val="20"/>
          <w:szCs w:val="20"/>
        </w:rPr>
        <w:t>GB</w:t>
      </w:r>
      <w:r>
        <w:rPr>
          <w:rFonts w:ascii="宋体" w:hAnsi="宋体" w:eastAsia="宋体" w:cs="宋体"/>
          <w:spacing w:val="-38"/>
          <w:sz w:val="20"/>
          <w:szCs w:val="20"/>
        </w:rPr>
        <w:t xml:space="preserve"> </w:t>
      </w:r>
      <w:r>
        <w:rPr>
          <w:rFonts w:ascii="宋体" w:hAnsi="宋体" w:eastAsia="宋体" w:cs="宋体"/>
          <w:spacing w:val="6"/>
          <w:sz w:val="20"/>
          <w:szCs w:val="20"/>
        </w:rPr>
        <w:t>2761的规定</w:t>
      </w:r>
      <w:r>
        <w:rPr>
          <w:rFonts w:ascii="宋体" w:hAnsi="宋体" w:eastAsia="宋体" w:cs="宋体"/>
          <w:spacing w:val="5"/>
          <w:sz w:val="20"/>
          <w:szCs w:val="20"/>
        </w:rPr>
        <w:t>。</w:t>
      </w:r>
    </w:p>
    <w:p w14:paraId="0B44B4D8">
      <w:pPr>
        <w:spacing w:before="221" w:line="230" w:lineRule="auto"/>
        <w:outlineLvl w:val="2"/>
        <w:rPr>
          <w:rFonts w:ascii="黑体" w:hAnsi="黑体" w:eastAsia="黑体" w:cs="黑体"/>
          <w:sz w:val="20"/>
          <w:szCs w:val="20"/>
        </w:rPr>
      </w:pPr>
      <w:r>
        <w:rPr>
          <w:rFonts w:ascii="黑体" w:hAnsi="黑体" w:eastAsia="黑体" w:cs="黑体"/>
          <w:spacing w:val="6"/>
          <w:sz w:val="20"/>
          <w:szCs w:val="20"/>
        </w:rPr>
        <w:t>4.7</w:t>
      </w:r>
      <w:r>
        <w:rPr>
          <w:rFonts w:ascii="黑体" w:hAnsi="黑体" w:eastAsia="黑体" w:cs="黑体"/>
          <w:spacing w:val="11"/>
          <w:sz w:val="20"/>
          <w:szCs w:val="20"/>
        </w:rPr>
        <w:t xml:space="preserve">  </w:t>
      </w:r>
      <w:r>
        <w:rPr>
          <w:rFonts w:ascii="黑体" w:hAnsi="黑体" w:eastAsia="黑体" w:cs="黑体"/>
          <w:spacing w:val="6"/>
          <w:sz w:val="20"/>
          <w:szCs w:val="20"/>
        </w:rPr>
        <w:t>污染物限量</w:t>
      </w:r>
    </w:p>
    <w:p w14:paraId="00F05C16">
      <w:pPr>
        <w:spacing w:before="219" w:line="228" w:lineRule="auto"/>
        <w:ind w:firstLine="416" w:firstLineChars="200"/>
        <w:jc w:val="left"/>
        <w:outlineLvl w:val="2"/>
        <w:rPr>
          <w:rFonts w:ascii="宋体" w:hAnsi="宋体" w:eastAsia="宋体" w:cs="宋体"/>
          <w:sz w:val="20"/>
          <w:szCs w:val="20"/>
        </w:rPr>
      </w:pPr>
      <w:r>
        <w:rPr>
          <w:rFonts w:ascii="宋体" w:hAnsi="宋体" w:eastAsia="宋体" w:cs="宋体"/>
          <w:spacing w:val="4"/>
          <w:sz w:val="20"/>
          <w:szCs w:val="20"/>
        </w:rPr>
        <w:t>污染物限量应符合</w:t>
      </w:r>
      <w:r>
        <w:rPr>
          <w:rFonts w:ascii="宋体" w:hAnsi="宋体" w:eastAsia="宋体" w:cs="宋体"/>
          <w:spacing w:val="-27"/>
          <w:sz w:val="20"/>
          <w:szCs w:val="20"/>
        </w:rPr>
        <w:t xml:space="preserve"> </w:t>
      </w:r>
      <w:r>
        <w:rPr>
          <w:rFonts w:ascii="宋体" w:hAnsi="宋体" w:eastAsia="宋体" w:cs="宋体"/>
          <w:sz w:val="20"/>
          <w:szCs w:val="20"/>
        </w:rPr>
        <w:t>GB</w:t>
      </w:r>
      <w:r>
        <w:rPr>
          <w:rFonts w:ascii="宋体" w:hAnsi="宋体" w:eastAsia="宋体" w:cs="宋体"/>
          <w:spacing w:val="-35"/>
          <w:sz w:val="20"/>
          <w:szCs w:val="20"/>
        </w:rPr>
        <w:t xml:space="preserve"> </w:t>
      </w:r>
      <w:r>
        <w:rPr>
          <w:rFonts w:ascii="宋体" w:hAnsi="宋体" w:eastAsia="宋体" w:cs="宋体"/>
          <w:spacing w:val="4"/>
          <w:sz w:val="20"/>
          <w:szCs w:val="20"/>
        </w:rPr>
        <w:t>2762的规定。</w:t>
      </w:r>
    </w:p>
    <w:p w14:paraId="318CE680">
      <w:pPr>
        <w:spacing w:before="221" w:line="225" w:lineRule="auto"/>
        <w:outlineLvl w:val="2"/>
        <w:rPr>
          <w:rFonts w:ascii="黑体" w:hAnsi="黑体" w:eastAsia="黑体" w:cs="黑体"/>
          <w:sz w:val="20"/>
          <w:szCs w:val="20"/>
        </w:rPr>
      </w:pPr>
      <w:r>
        <w:rPr>
          <w:rFonts w:ascii="黑体" w:hAnsi="黑体" w:eastAsia="黑体" w:cs="黑体"/>
          <w:spacing w:val="7"/>
          <w:sz w:val="20"/>
          <w:szCs w:val="20"/>
        </w:rPr>
        <w:t>4.8  农药残留限量</w:t>
      </w:r>
    </w:p>
    <w:p w14:paraId="09817180">
      <w:pPr>
        <w:spacing w:before="224" w:line="228" w:lineRule="auto"/>
        <w:ind w:firstLine="424" w:firstLineChars="200"/>
        <w:outlineLvl w:val="2"/>
        <w:rPr>
          <w:rFonts w:ascii="宋体" w:hAnsi="宋体" w:eastAsia="宋体" w:cs="宋体"/>
          <w:sz w:val="20"/>
          <w:szCs w:val="20"/>
        </w:rPr>
      </w:pPr>
      <w:r>
        <w:rPr>
          <w:rFonts w:ascii="宋体" w:hAnsi="宋体" w:eastAsia="宋体" w:cs="宋体"/>
          <w:spacing w:val="6"/>
          <w:sz w:val="20"/>
          <w:szCs w:val="20"/>
        </w:rPr>
        <w:t>农药残留限量应符合</w:t>
      </w:r>
      <w:r>
        <w:rPr>
          <w:rFonts w:ascii="宋体" w:hAnsi="宋体" w:eastAsia="宋体" w:cs="宋体"/>
          <w:sz w:val="20"/>
          <w:szCs w:val="20"/>
        </w:rPr>
        <w:t>GB</w:t>
      </w:r>
      <w:r>
        <w:rPr>
          <w:rFonts w:hint="eastAsia" w:ascii="宋体" w:hAnsi="宋体" w:eastAsia="宋体" w:cs="宋体"/>
          <w:sz w:val="20"/>
          <w:szCs w:val="20"/>
          <w:lang w:val="en-US" w:eastAsia="zh-CN"/>
        </w:rPr>
        <w:t xml:space="preserve"> </w:t>
      </w:r>
      <w:r>
        <w:rPr>
          <w:rFonts w:ascii="宋体" w:hAnsi="宋体" w:eastAsia="宋体" w:cs="宋体"/>
          <w:spacing w:val="6"/>
          <w:sz w:val="20"/>
          <w:szCs w:val="20"/>
        </w:rPr>
        <w:t>2763的规定。</w:t>
      </w:r>
    </w:p>
    <w:p w14:paraId="27F538EC">
      <w:pPr>
        <w:spacing w:before="221" w:line="231" w:lineRule="auto"/>
        <w:outlineLvl w:val="2"/>
        <w:rPr>
          <w:rFonts w:ascii="黑体" w:hAnsi="黑体" w:eastAsia="黑体" w:cs="黑体"/>
          <w:sz w:val="20"/>
          <w:szCs w:val="20"/>
        </w:rPr>
      </w:pPr>
      <w:r>
        <w:rPr>
          <w:rFonts w:ascii="黑体" w:hAnsi="黑体" w:eastAsia="黑体" w:cs="黑体"/>
          <w:spacing w:val="6"/>
          <w:sz w:val="20"/>
          <w:szCs w:val="20"/>
        </w:rPr>
        <w:t>4.9  净含量</w:t>
      </w:r>
    </w:p>
    <w:p w14:paraId="7927114E">
      <w:pPr>
        <w:spacing w:before="218" w:line="226" w:lineRule="auto"/>
        <w:ind w:firstLine="432" w:firstLineChars="200"/>
        <w:outlineLvl w:val="2"/>
      </w:pPr>
      <w:r>
        <w:rPr>
          <w:rFonts w:ascii="宋体" w:hAnsi="宋体" w:eastAsia="宋体" w:cs="宋体"/>
          <w:spacing w:val="8"/>
          <w:sz w:val="20"/>
          <w:szCs w:val="20"/>
        </w:rPr>
        <w:t>按国家市场监督管理总局令第</w:t>
      </w:r>
      <w:r>
        <w:rPr>
          <w:rFonts w:ascii="宋体" w:hAnsi="宋体" w:eastAsia="宋体" w:cs="宋体"/>
          <w:spacing w:val="-34"/>
          <w:sz w:val="20"/>
          <w:szCs w:val="20"/>
        </w:rPr>
        <w:t xml:space="preserve"> </w:t>
      </w:r>
      <w:r>
        <w:rPr>
          <w:rFonts w:ascii="宋体" w:hAnsi="宋体" w:eastAsia="宋体" w:cs="宋体"/>
          <w:spacing w:val="8"/>
          <w:sz w:val="20"/>
          <w:szCs w:val="20"/>
        </w:rPr>
        <w:t>70</w:t>
      </w:r>
      <w:r>
        <w:rPr>
          <w:rFonts w:ascii="宋体" w:hAnsi="宋体" w:eastAsia="宋体" w:cs="宋体"/>
          <w:spacing w:val="-33"/>
          <w:sz w:val="20"/>
          <w:szCs w:val="20"/>
        </w:rPr>
        <w:t xml:space="preserve"> </w:t>
      </w:r>
      <w:r>
        <w:rPr>
          <w:rFonts w:ascii="宋体" w:hAnsi="宋体" w:eastAsia="宋体" w:cs="宋体"/>
          <w:spacing w:val="8"/>
          <w:sz w:val="20"/>
          <w:szCs w:val="20"/>
        </w:rPr>
        <w:t>号《定量包装商品计量监督管理办法》和</w:t>
      </w:r>
      <w:r>
        <w:rPr>
          <w:rFonts w:ascii="宋体" w:hAnsi="宋体" w:eastAsia="宋体" w:cs="宋体"/>
          <w:spacing w:val="-40"/>
          <w:sz w:val="20"/>
          <w:szCs w:val="20"/>
        </w:rPr>
        <w:t xml:space="preserve"> </w:t>
      </w:r>
      <w:r>
        <w:rPr>
          <w:rFonts w:ascii="宋体" w:hAnsi="宋体" w:eastAsia="宋体" w:cs="宋体"/>
          <w:sz w:val="20"/>
          <w:szCs w:val="20"/>
        </w:rPr>
        <w:t>JJF</w:t>
      </w:r>
      <w:r>
        <w:rPr>
          <w:rFonts w:ascii="宋体" w:hAnsi="宋体" w:eastAsia="宋体" w:cs="宋体"/>
          <w:spacing w:val="8"/>
          <w:sz w:val="20"/>
          <w:szCs w:val="20"/>
        </w:rPr>
        <w:t xml:space="preserve"> 1070</w:t>
      </w:r>
      <w:r>
        <w:rPr>
          <w:rFonts w:ascii="宋体" w:hAnsi="宋体" w:eastAsia="宋体" w:cs="宋体"/>
          <w:spacing w:val="-40"/>
          <w:sz w:val="20"/>
          <w:szCs w:val="20"/>
        </w:rPr>
        <w:t xml:space="preserve"> </w:t>
      </w:r>
      <w:r>
        <w:rPr>
          <w:rFonts w:ascii="宋体" w:hAnsi="宋体" w:eastAsia="宋体" w:cs="宋体"/>
          <w:spacing w:val="8"/>
          <w:sz w:val="20"/>
          <w:szCs w:val="20"/>
        </w:rPr>
        <w:t>规定执</w:t>
      </w:r>
      <w:r>
        <w:rPr>
          <w:rFonts w:ascii="宋体" w:hAnsi="宋体" w:eastAsia="宋体" w:cs="宋体"/>
          <w:spacing w:val="7"/>
          <w:sz w:val="20"/>
          <w:szCs w:val="20"/>
        </w:rPr>
        <w:t>行。</w:t>
      </w:r>
    </w:p>
    <w:p w14:paraId="1DD5E881">
      <w:pPr>
        <w:pStyle w:val="10"/>
        <w:numPr>
          <w:ilvl w:val="1"/>
          <w:numId w:val="0"/>
        </w:numPr>
      </w:pPr>
      <w:r>
        <w:rPr>
          <w:rFonts w:hint="eastAsia"/>
        </w:rPr>
        <w:t>5  生产加工过程中的要求</w:t>
      </w:r>
    </w:p>
    <w:p w14:paraId="5DBB630C">
      <w:pPr>
        <w:spacing w:before="66" w:line="228" w:lineRule="auto"/>
        <w:ind w:firstLine="416" w:firstLineChars="200"/>
      </w:pPr>
      <w:r>
        <w:rPr>
          <w:rFonts w:ascii="宋体" w:hAnsi="宋体" w:eastAsia="宋体" w:cs="宋体"/>
          <w:spacing w:val="4"/>
          <w:sz w:val="20"/>
          <w:szCs w:val="20"/>
        </w:rPr>
        <w:t>应符合</w:t>
      </w:r>
      <w:r>
        <w:rPr>
          <w:rFonts w:ascii="宋体" w:hAnsi="宋体" w:eastAsia="宋体" w:cs="宋体"/>
          <w:sz w:val="20"/>
          <w:szCs w:val="20"/>
        </w:rPr>
        <w:t>GB</w:t>
      </w:r>
      <w:r>
        <w:rPr>
          <w:rFonts w:hint="eastAsia" w:ascii="宋体" w:hAnsi="宋体" w:eastAsia="宋体" w:cs="宋体"/>
          <w:sz w:val="20"/>
          <w:szCs w:val="20"/>
          <w:lang w:val="en-US" w:eastAsia="zh-CN"/>
        </w:rPr>
        <w:t xml:space="preserve"> </w:t>
      </w:r>
      <w:r>
        <w:rPr>
          <w:rFonts w:ascii="宋体" w:hAnsi="宋体" w:eastAsia="宋体" w:cs="宋体"/>
          <w:spacing w:val="4"/>
          <w:sz w:val="20"/>
          <w:szCs w:val="20"/>
        </w:rPr>
        <w:t>14881</w:t>
      </w:r>
      <w:r>
        <w:rPr>
          <w:rFonts w:hint="eastAsia" w:ascii="宋体" w:hAnsi="宋体" w:eastAsia="宋体" w:cs="宋体"/>
          <w:spacing w:val="4"/>
          <w:sz w:val="20"/>
          <w:szCs w:val="20"/>
          <w:lang w:val="en-US" w:eastAsia="zh-CN"/>
        </w:rPr>
        <w:t>及国家有关</w:t>
      </w:r>
      <w:r>
        <w:rPr>
          <w:rFonts w:ascii="宋体" w:hAnsi="宋体" w:eastAsia="宋体" w:cs="宋体"/>
          <w:spacing w:val="4"/>
          <w:sz w:val="20"/>
          <w:szCs w:val="20"/>
        </w:rPr>
        <w:t>规定。</w:t>
      </w:r>
    </w:p>
    <w:p w14:paraId="13F0436A">
      <w:pPr>
        <w:pStyle w:val="10"/>
        <w:numPr>
          <w:ilvl w:val="1"/>
          <w:numId w:val="0"/>
        </w:numPr>
      </w:pPr>
      <w:r>
        <w:rPr>
          <w:rFonts w:hint="eastAsia"/>
        </w:rPr>
        <w:t>6  检验规则</w:t>
      </w:r>
    </w:p>
    <w:p w14:paraId="17BC6AEC">
      <w:pPr>
        <w:spacing w:before="66" w:line="231" w:lineRule="auto"/>
        <w:outlineLvl w:val="2"/>
        <w:rPr>
          <w:rFonts w:ascii="黑体" w:hAnsi="黑体" w:eastAsia="黑体" w:cs="黑体"/>
          <w:sz w:val="20"/>
          <w:szCs w:val="20"/>
        </w:rPr>
      </w:pPr>
      <w:r>
        <w:rPr>
          <w:rFonts w:ascii="黑体" w:hAnsi="黑体" w:eastAsia="黑体" w:cs="黑体"/>
          <w:spacing w:val="3"/>
          <w:sz w:val="20"/>
          <w:szCs w:val="20"/>
        </w:rPr>
        <w:t>6.1</w:t>
      </w:r>
      <w:r>
        <w:rPr>
          <w:rFonts w:ascii="黑体" w:hAnsi="黑体" w:eastAsia="黑体" w:cs="黑体"/>
          <w:spacing w:val="10"/>
          <w:sz w:val="20"/>
          <w:szCs w:val="20"/>
        </w:rPr>
        <w:t xml:space="preserve">  </w:t>
      </w:r>
      <w:r>
        <w:rPr>
          <w:rFonts w:ascii="黑体" w:hAnsi="黑体" w:eastAsia="黑体" w:cs="黑体"/>
          <w:spacing w:val="3"/>
          <w:sz w:val="20"/>
          <w:szCs w:val="20"/>
        </w:rPr>
        <w:t>组批</w:t>
      </w:r>
    </w:p>
    <w:p w14:paraId="000AFC2C">
      <w:pPr>
        <w:spacing w:before="218" w:line="228" w:lineRule="auto"/>
        <w:ind w:firstLine="424" w:firstLineChars="200"/>
        <w:outlineLvl w:val="2"/>
        <w:rPr>
          <w:rFonts w:ascii="宋体" w:hAnsi="宋体" w:eastAsia="宋体" w:cs="宋体"/>
          <w:sz w:val="20"/>
          <w:szCs w:val="20"/>
        </w:rPr>
      </w:pPr>
      <w:r>
        <w:rPr>
          <w:rFonts w:ascii="宋体" w:hAnsi="宋体" w:eastAsia="宋体" w:cs="宋体"/>
          <w:spacing w:val="6"/>
          <w:sz w:val="20"/>
          <w:szCs w:val="20"/>
        </w:rPr>
        <w:t>由同一班次，同一品种为一批。</w:t>
      </w:r>
    </w:p>
    <w:p w14:paraId="1CB0D8DA">
      <w:pPr>
        <w:spacing w:before="221" w:line="229" w:lineRule="auto"/>
        <w:outlineLvl w:val="2"/>
        <w:rPr>
          <w:rFonts w:ascii="黑体" w:hAnsi="黑体" w:eastAsia="黑体" w:cs="黑体"/>
          <w:sz w:val="20"/>
          <w:szCs w:val="20"/>
        </w:rPr>
      </w:pPr>
      <w:r>
        <w:rPr>
          <w:rFonts w:ascii="黑体" w:hAnsi="黑体" w:eastAsia="黑体" w:cs="黑体"/>
          <w:spacing w:val="7"/>
          <w:sz w:val="20"/>
          <w:szCs w:val="20"/>
        </w:rPr>
        <w:t>6.2  抽样方法和数量</w:t>
      </w:r>
    </w:p>
    <w:p w14:paraId="46EDA38B">
      <w:pPr>
        <w:keepNext w:val="0"/>
        <w:keepLines w:val="0"/>
        <w:pageBreakBefore w:val="0"/>
        <w:widowControl/>
        <w:kinsoku w:val="0"/>
        <w:wordWrap/>
        <w:overflowPunct/>
        <w:topLinePunct w:val="0"/>
        <w:autoSpaceDE w:val="0"/>
        <w:autoSpaceDN w:val="0"/>
        <w:bidi w:val="0"/>
        <w:adjustRightInd w:val="0"/>
        <w:snapToGrid w:val="0"/>
        <w:spacing w:before="220" w:line="360" w:lineRule="auto"/>
        <w:ind w:firstLine="432" w:firstLineChars="200"/>
        <w:textAlignment w:val="baseline"/>
        <w:outlineLvl w:val="2"/>
        <w:rPr>
          <w:rFonts w:ascii="宋体" w:hAnsi="宋体" w:eastAsia="宋体" w:cs="宋体"/>
          <w:sz w:val="20"/>
          <w:szCs w:val="20"/>
        </w:rPr>
      </w:pPr>
      <w:r>
        <w:rPr>
          <w:rFonts w:ascii="宋体" w:hAnsi="宋体" w:eastAsia="宋体" w:cs="宋体"/>
          <w:spacing w:val="8"/>
          <w:sz w:val="20"/>
          <w:szCs w:val="20"/>
        </w:rPr>
        <w:t>每批随机抽取</w:t>
      </w:r>
      <w:r>
        <w:rPr>
          <w:rFonts w:ascii="宋体" w:hAnsi="宋体" w:eastAsia="宋体" w:cs="宋体"/>
          <w:spacing w:val="-18"/>
          <w:sz w:val="20"/>
          <w:szCs w:val="20"/>
        </w:rPr>
        <w:t xml:space="preserve"> </w:t>
      </w:r>
      <w:r>
        <w:rPr>
          <w:rFonts w:ascii="宋体" w:hAnsi="宋体" w:eastAsia="宋体" w:cs="宋体"/>
          <w:spacing w:val="8"/>
          <w:sz w:val="20"/>
          <w:szCs w:val="20"/>
        </w:rPr>
        <w:t>10</w:t>
      </w:r>
      <w:r>
        <w:rPr>
          <w:rFonts w:ascii="宋体" w:hAnsi="宋体" w:eastAsia="宋体" w:cs="宋体"/>
          <w:spacing w:val="-38"/>
          <w:sz w:val="20"/>
          <w:szCs w:val="20"/>
        </w:rPr>
        <w:t xml:space="preserve"> </w:t>
      </w:r>
      <w:r>
        <w:rPr>
          <w:rFonts w:ascii="宋体" w:hAnsi="宋体" w:eastAsia="宋体" w:cs="宋体"/>
          <w:spacing w:val="8"/>
          <w:sz w:val="20"/>
          <w:szCs w:val="20"/>
        </w:rPr>
        <w:t>个最小独立包装，总重量不少于</w:t>
      </w:r>
      <w:r>
        <w:rPr>
          <w:rFonts w:ascii="宋体" w:hAnsi="宋体" w:eastAsia="宋体" w:cs="宋体"/>
          <w:spacing w:val="-22"/>
          <w:sz w:val="20"/>
          <w:szCs w:val="20"/>
        </w:rPr>
        <w:t xml:space="preserve"> </w:t>
      </w:r>
      <w:r>
        <w:rPr>
          <w:rFonts w:ascii="宋体" w:hAnsi="宋体" w:eastAsia="宋体" w:cs="宋体"/>
          <w:spacing w:val="8"/>
          <w:sz w:val="20"/>
          <w:szCs w:val="20"/>
        </w:rPr>
        <w:t>1</w:t>
      </w:r>
      <w:r>
        <w:rPr>
          <w:rFonts w:ascii="宋体" w:hAnsi="宋体" w:eastAsia="宋体" w:cs="宋体"/>
          <w:sz w:val="20"/>
          <w:szCs w:val="20"/>
        </w:rPr>
        <w:t>kg</w:t>
      </w:r>
      <w:r>
        <w:rPr>
          <w:rFonts w:ascii="宋体" w:hAnsi="宋体" w:eastAsia="宋体" w:cs="宋体"/>
          <w:spacing w:val="8"/>
          <w:sz w:val="20"/>
          <w:szCs w:val="20"/>
        </w:rPr>
        <w:t>，用于检验和留样，微生物指标的抽样方法</w:t>
      </w:r>
    </w:p>
    <w:p w14:paraId="53B8508B">
      <w:pPr>
        <w:keepNext w:val="0"/>
        <w:keepLines w:val="0"/>
        <w:pageBreakBefore w:val="0"/>
        <w:widowControl/>
        <w:kinsoku w:val="0"/>
        <w:wordWrap/>
        <w:overflowPunct/>
        <w:topLinePunct w:val="0"/>
        <w:autoSpaceDE w:val="0"/>
        <w:autoSpaceDN w:val="0"/>
        <w:bidi w:val="0"/>
        <w:adjustRightInd w:val="0"/>
        <w:snapToGrid w:val="0"/>
        <w:spacing w:before="71" w:line="360" w:lineRule="auto"/>
        <w:ind w:left="126"/>
        <w:textAlignment w:val="baseline"/>
        <w:rPr>
          <w:rFonts w:ascii="宋体" w:hAnsi="宋体" w:eastAsia="宋体" w:cs="宋体"/>
          <w:spacing w:val="5"/>
          <w:sz w:val="20"/>
          <w:szCs w:val="20"/>
        </w:rPr>
      </w:pPr>
      <w:r>
        <w:rPr>
          <w:rFonts w:ascii="宋体" w:hAnsi="宋体" w:eastAsia="宋体" w:cs="宋体"/>
          <w:spacing w:val="5"/>
          <w:sz w:val="20"/>
          <w:szCs w:val="20"/>
        </w:rPr>
        <w:t>和数量按照</w:t>
      </w:r>
      <w:r>
        <w:rPr>
          <w:rFonts w:ascii="宋体" w:hAnsi="宋体" w:eastAsia="宋体" w:cs="宋体"/>
          <w:spacing w:val="-41"/>
          <w:sz w:val="20"/>
          <w:szCs w:val="20"/>
        </w:rPr>
        <w:t xml:space="preserve"> </w:t>
      </w:r>
      <w:r>
        <w:rPr>
          <w:rFonts w:ascii="宋体" w:hAnsi="宋体" w:eastAsia="宋体" w:cs="宋体"/>
          <w:sz w:val="20"/>
          <w:szCs w:val="20"/>
        </w:rPr>
        <w:t>GB</w:t>
      </w:r>
      <w:r>
        <w:rPr>
          <w:rFonts w:ascii="宋体" w:hAnsi="宋体" w:eastAsia="宋体" w:cs="宋体"/>
          <w:spacing w:val="5"/>
          <w:sz w:val="20"/>
          <w:szCs w:val="20"/>
        </w:rPr>
        <w:t xml:space="preserve"> 4789.1</w:t>
      </w:r>
      <w:r>
        <w:rPr>
          <w:rFonts w:ascii="宋体" w:hAnsi="宋体" w:eastAsia="宋体" w:cs="宋体"/>
          <w:spacing w:val="-21"/>
          <w:sz w:val="20"/>
          <w:szCs w:val="20"/>
        </w:rPr>
        <w:t xml:space="preserve"> </w:t>
      </w:r>
      <w:r>
        <w:rPr>
          <w:rFonts w:ascii="宋体" w:hAnsi="宋体" w:eastAsia="宋体" w:cs="宋体"/>
          <w:spacing w:val="5"/>
          <w:sz w:val="20"/>
          <w:szCs w:val="20"/>
        </w:rPr>
        <w:t>的规定。</w:t>
      </w:r>
    </w:p>
    <w:p w14:paraId="368AD021">
      <w:pPr>
        <w:spacing w:before="221" w:line="229" w:lineRule="auto"/>
        <w:outlineLvl w:val="2"/>
        <w:rPr>
          <w:rFonts w:ascii="黑体" w:hAnsi="黑体" w:eastAsia="黑体" w:cs="黑体"/>
          <w:spacing w:val="7"/>
          <w:sz w:val="20"/>
          <w:szCs w:val="20"/>
        </w:rPr>
      </w:pPr>
      <w:r>
        <w:rPr>
          <w:rFonts w:ascii="黑体" w:hAnsi="黑体" w:eastAsia="黑体" w:cs="黑体"/>
          <w:spacing w:val="7"/>
          <w:sz w:val="20"/>
          <w:szCs w:val="20"/>
        </w:rPr>
        <w:t>6.3  出厂检验</w:t>
      </w:r>
    </w:p>
    <w:p w14:paraId="758B3A4B">
      <w:pPr>
        <w:spacing w:before="221" w:line="229" w:lineRule="auto"/>
        <w:ind w:firstLine="436" w:firstLineChars="200"/>
        <w:outlineLvl w:val="2"/>
        <w:rPr>
          <w:rFonts w:ascii="宋体" w:hAnsi="宋体" w:eastAsia="宋体" w:cs="宋体"/>
          <w:sz w:val="20"/>
          <w:szCs w:val="20"/>
        </w:rPr>
      </w:pPr>
      <w:r>
        <w:rPr>
          <w:rFonts w:hint="eastAsia" w:ascii="宋体" w:hAnsi="宋体" w:eastAsia="宋体" w:cs="宋体"/>
          <w:spacing w:val="9"/>
          <w:sz w:val="20"/>
          <w:szCs w:val="20"/>
          <w:lang w:eastAsia="zh-CN"/>
        </w:rPr>
        <w:t>红枣</w:t>
      </w:r>
      <w:r>
        <w:rPr>
          <w:rFonts w:ascii="宋体" w:hAnsi="宋体" w:eastAsia="宋体" w:cs="宋体"/>
          <w:spacing w:val="9"/>
          <w:sz w:val="20"/>
          <w:szCs w:val="20"/>
        </w:rPr>
        <w:t>制品出厂检验项目：感官要求</w:t>
      </w:r>
      <w:r>
        <w:rPr>
          <w:rFonts w:ascii="宋体" w:hAnsi="宋体" w:eastAsia="宋体" w:cs="宋体"/>
          <w:spacing w:val="8"/>
          <w:sz w:val="20"/>
          <w:szCs w:val="20"/>
        </w:rPr>
        <w:t>、菌落总数、大肠菌群、净含量。</w:t>
      </w:r>
    </w:p>
    <w:p w14:paraId="37D6082D">
      <w:pPr>
        <w:spacing w:before="222" w:line="231" w:lineRule="auto"/>
        <w:outlineLvl w:val="2"/>
        <w:rPr>
          <w:rFonts w:ascii="宋体" w:hAnsi="宋体" w:eastAsia="宋体" w:cs="宋体"/>
          <w:spacing w:val="4"/>
          <w:sz w:val="20"/>
          <w:szCs w:val="20"/>
        </w:rPr>
      </w:pPr>
      <w:r>
        <w:rPr>
          <w:rFonts w:ascii="黑体" w:hAnsi="黑体" w:eastAsia="黑体" w:cs="黑体"/>
          <w:spacing w:val="4"/>
          <w:sz w:val="20"/>
          <w:szCs w:val="20"/>
        </w:rPr>
        <w:t>6.4</w:t>
      </w:r>
      <w:r>
        <w:rPr>
          <w:rFonts w:ascii="黑体" w:hAnsi="黑体" w:eastAsia="黑体" w:cs="黑体"/>
          <w:spacing w:val="13"/>
          <w:sz w:val="20"/>
          <w:szCs w:val="20"/>
        </w:rPr>
        <w:t xml:space="preserve">  </w:t>
      </w:r>
      <w:r>
        <w:rPr>
          <w:rFonts w:ascii="黑体" w:hAnsi="黑体" w:eastAsia="黑体" w:cs="黑体"/>
          <w:spacing w:val="6"/>
          <w:sz w:val="20"/>
          <w:szCs w:val="20"/>
        </w:rPr>
        <w:t>型式检验</w:t>
      </w:r>
    </w:p>
    <w:p w14:paraId="06F8065B">
      <w:pPr>
        <w:spacing w:before="222" w:line="231" w:lineRule="auto"/>
        <w:ind w:firstLine="416" w:firstLineChars="200"/>
        <w:outlineLvl w:val="2"/>
        <w:rPr>
          <w:rFonts w:hint="default" w:ascii="宋体" w:hAnsi="宋体" w:eastAsia="宋体" w:cs="宋体"/>
          <w:spacing w:val="4"/>
          <w:sz w:val="20"/>
          <w:szCs w:val="20"/>
          <w:lang w:val="en-US" w:eastAsia="zh-CN"/>
        </w:rPr>
      </w:pPr>
      <w:r>
        <w:rPr>
          <w:rFonts w:hint="eastAsia" w:ascii="宋体" w:hAnsi="宋体" w:eastAsia="宋体" w:cs="宋体"/>
          <w:spacing w:val="4"/>
          <w:sz w:val="20"/>
          <w:szCs w:val="20"/>
          <w:lang w:val="en-US" w:eastAsia="zh-CN"/>
        </w:rPr>
        <w:t>按照国家相关部门的有关规定执行。</w:t>
      </w:r>
    </w:p>
    <w:p w14:paraId="65A9DF72">
      <w:pPr>
        <w:spacing w:before="229" w:line="231" w:lineRule="auto"/>
        <w:outlineLvl w:val="2"/>
        <w:rPr>
          <w:rFonts w:ascii="宋体" w:hAnsi="宋体" w:eastAsia="宋体" w:cs="宋体"/>
          <w:sz w:val="20"/>
          <w:szCs w:val="20"/>
        </w:rPr>
      </w:pPr>
      <w:r>
        <w:rPr>
          <w:rFonts w:ascii="黑体" w:hAnsi="黑体" w:eastAsia="黑体" w:cs="黑体"/>
          <w:spacing w:val="6"/>
          <w:sz w:val="20"/>
          <w:szCs w:val="20"/>
        </w:rPr>
        <w:t>6.5  判定规则</w:t>
      </w:r>
    </w:p>
    <w:p w14:paraId="18C67D4C">
      <w:pPr>
        <w:spacing w:before="217" w:line="230" w:lineRule="auto"/>
        <w:outlineLvl w:val="3"/>
        <w:rPr>
          <w:rFonts w:ascii="宋体" w:hAnsi="宋体" w:eastAsia="宋体" w:cs="宋体"/>
          <w:sz w:val="20"/>
          <w:szCs w:val="20"/>
        </w:rPr>
      </w:pPr>
      <w:r>
        <w:rPr>
          <w:rFonts w:ascii="黑体" w:hAnsi="黑体" w:eastAsia="黑体" w:cs="黑体"/>
          <w:spacing w:val="8"/>
          <w:sz w:val="20"/>
          <w:szCs w:val="20"/>
        </w:rPr>
        <w:t xml:space="preserve">6.5.1  </w:t>
      </w:r>
      <w:r>
        <w:rPr>
          <w:rFonts w:ascii="宋体" w:hAnsi="宋体" w:eastAsia="宋体" w:cs="宋体"/>
          <w:spacing w:val="8"/>
          <w:sz w:val="20"/>
          <w:szCs w:val="20"/>
        </w:rPr>
        <w:t>检验结果全部项目符合本标准规定，判定该批产品为合格品。</w:t>
      </w:r>
    </w:p>
    <w:p w14:paraId="6A7146F6">
      <w:pPr>
        <w:spacing w:before="219" w:line="230" w:lineRule="auto"/>
        <w:outlineLvl w:val="3"/>
      </w:pPr>
      <w:r>
        <w:rPr>
          <w:rFonts w:ascii="黑体" w:hAnsi="黑体" w:eastAsia="黑体" w:cs="黑体"/>
          <w:spacing w:val="8"/>
          <w:sz w:val="20"/>
          <w:szCs w:val="20"/>
        </w:rPr>
        <w:t xml:space="preserve">6.5.2  </w:t>
      </w:r>
      <w:r>
        <w:rPr>
          <w:rFonts w:ascii="宋体" w:hAnsi="宋体" w:eastAsia="宋体" w:cs="宋体"/>
          <w:spacing w:val="8"/>
          <w:sz w:val="20"/>
          <w:szCs w:val="20"/>
        </w:rPr>
        <w:t>检验结果有一项不符合本标准规定，判定该批产品不合格。</w:t>
      </w:r>
    </w:p>
    <w:p w14:paraId="0C18FBED">
      <w:pPr>
        <w:pStyle w:val="10"/>
        <w:numPr>
          <w:ilvl w:val="1"/>
          <w:numId w:val="0"/>
        </w:numPr>
      </w:pPr>
      <w:r>
        <w:rPr>
          <w:rFonts w:hint="eastAsia"/>
        </w:rPr>
        <w:t>7  标识、包装、贮存、运输</w:t>
      </w:r>
    </w:p>
    <w:p w14:paraId="2582C203">
      <w:pPr>
        <w:spacing w:before="65" w:line="231" w:lineRule="auto"/>
        <w:ind w:left="1"/>
        <w:outlineLvl w:val="2"/>
        <w:rPr>
          <w:rFonts w:ascii="黑体" w:hAnsi="黑体" w:eastAsia="黑体" w:cs="黑体"/>
          <w:spacing w:val="6"/>
          <w:sz w:val="20"/>
          <w:szCs w:val="20"/>
        </w:rPr>
      </w:pPr>
      <w:r>
        <w:rPr>
          <w:rFonts w:ascii="黑体" w:hAnsi="黑体" w:eastAsia="黑体" w:cs="黑体"/>
          <w:spacing w:val="3"/>
          <w:sz w:val="20"/>
          <w:szCs w:val="20"/>
        </w:rPr>
        <w:t>7</w:t>
      </w:r>
      <w:r>
        <w:rPr>
          <w:rFonts w:ascii="黑体" w:hAnsi="黑体" w:eastAsia="黑体" w:cs="黑体"/>
          <w:spacing w:val="6"/>
          <w:sz w:val="20"/>
          <w:szCs w:val="20"/>
        </w:rPr>
        <w:t>.1  标识</w:t>
      </w:r>
    </w:p>
    <w:p w14:paraId="2B943755">
      <w:pPr>
        <w:spacing w:before="217" w:line="231" w:lineRule="auto"/>
        <w:ind w:left="1"/>
        <w:outlineLvl w:val="3"/>
        <w:rPr>
          <w:rFonts w:ascii="宋体" w:hAnsi="宋体" w:eastAsia="宋体" w:cs="宋体"/>
          <w:sz w:val="20"/>
          <w:szCs w:val="20"/>
        </w:rPr>
      </w:pPr>
      <w:r>
        <w:rPr>
          <w:rFonts w:ascii="黑体" w:hAnsi="黑体" w:eastAsia="黑体" w:cs="黑体"/>
          <w:spacing w:val="7"/>
          <w:sz w:val="20"/>
          <w:szCs w:val="20"/>
        </w:rPr>
        <w:t xml:space="preserve">7.1.1  </w:t>
      </w:r>
      <w:r>
        <w:rPr>
          <w:rFonts w:ascii="宋体" w:hAnsi="宋体" w:eastAsia="宋体" w:cs="宋体"/>
          <w:spacing w:val="7"/>
          <w:sz w:val="20"/>
          <w:szCs w:val="20"/>
        </w:rPr>
        <w:t>产品标签应符合</w:t>
      </w:r>
      <w:r>
        <w:rPr>
          <w:rFonts w:ascii="宋体" w:hAnsi="宋体" w:eastAsia="宋体" w:cs="宋体"/>
          <w:spacing w:val="-42"/>
          <w:sz w:val="20"/>
          <w:szCs w:val="20"/>
        </w:rPr>
        <w:t xml:space="preserve"> </w:t>
      </w:r>
      <w:r>
        <w:rPr>
          <w:rFonts w:ascii="宋体" w:hAnsi="宋体" w:eastAsia="宋体" w:cs="宋体"/>
          <w:sz w:val="20"/>
          <w:szCs w:val="20"/>
        </w:rPr>
        <w:t>GB</w:t>
      </w:r>
      <w:r>
        <w:rPr>
          <w:rFonts w:ascii="宋体" w:hAnsi="宋体" w:eastAsia="宋体" w:cs="宋体"/>
          <w:spacing w:val="7"/>
          <w:sz w:val="20"/>
          <w:szCs w:val="20"/>
        </w:rPr>
        <w:t xml:space="preserve"> 7718、</w:t>
      </w:r>
      <w:r>
        <w:rPr>
          <w:rFonts w:ascii="宋体" w:hAnsi="宋体" w:eastAsia="宋体" w:cs="宋体"/>
          <w:sz w:val="20"/>
          <w:szCs w:val="20"/>
        </w:rPr>
        <w:t>GB</w:t>
      </w:r>
      <w:r>
        <w:rPr>
          <w:rFonts w:ascii="宋体" w:hAnsi="宋体" w:eastAsia="宋体" w:cs="宋体"/>
          <w:spacing w:val="7"/>
          <w:sz w:val="20"/>
          <w:szCs w:val="20"/>
        </w:rPr>
        <w:t xml:space="preserve"> 28050</w:t>
      </w:r>
      <w:r>
        <w:rPr>
          <w:rFonts w:ascii="宋体" w:hAnsi="宋体" w:eastAsia="宋体" w:cs="宋体"/>
          <w:spacing w:val="-37"/>
          <w:sz w:val="20"/>
          <w:szCs w:val="20"/>
        </w:rPr>
        <w:t xml:space="preserve"> </w:t>
      </w:r>
      <w:r>
        <w:rPr>
          <w:rFonts w:ascii="宋体" w:hAnsi="宋体" w:eastAsia="宋体" w:cs="宋体"/>
          <w:spacing w:val="7"/>
          <w:sz w:val="20"/>
          <w:szCs w:val="20"/>
        </w:rPr>
        <w:t>和国</w:t>
      </w:r>
      <w:r>
        <w:rPr>
          <w:rFonts w:ascii="宋体" w:hAnsi="宋体" w:eastAsia="宋体" w:cs="宋体"/>
          <w:spacing w:val="6"/>
          <w:sz w:val="20"/>
          <w:szCs w:val="20"/>
        </w:rPr>
        <w:t>家相关规定。</w:t>
      </w:r>
    </w:p>
    <w:p w14:paraId="20742F2C">
      <w:pPr>
        <w:spacing w:before="218" w:line="231" w:lineRule="auto"/>
        <w:ind w:left="1"/>
        <w:outlineLvl w:val="3"/>
        <w:rPr>
          <w:rFonts w:ascii="宋体" w:hAnsi="宋体" w:eastAsia="宋体" w:cs="宋体"/>
          <w:sz w:val="20"/>
          <w:szCs w:val="20"/>
        </w:rPr>
      </w:pPr>
      <w:r>
        <w:rPr>
          <w:rFonts w:ascii="黑体" w:hAnsi="黑体" w:eastAsia="黑体" w:cs="黑体"/>
          <w:spacing w:val="5"/>
          <w:sz w:val="20"/>
          <w:szCs w:val="20"/>
        </w:rPr>
        <w:t xml:space="preserve">7.1.2  </w:t>
      </w:r>
      <w:r>
        <w:rPr>
          <w:rFonts w:ascii="宋体" w:hAnsi="宋体" w:eastAsia="宋体" w:cs="宋体"/>
          <w:spacing w:val="5"/>
          <w:sz w:val="20"/>
          <w:szCs w:val="20"/>
        </w:rPr>
        <w:t>包装贮运标志应符合</w:t>
      </w:r>
      <w:r>
        <w:rPr>
          <w:rFonts w:ascii="宋体" w:hAnsi="宋体" w:eastAsia="宋体" w:cs="宋体"/>
          <w:spacing w:val="-32"/>
          <w:sz w:val="20"/>
          <w:szCs w:val="20"/>
        </w:rPr>
        <w:t xml:space="preserve"> </w:t>
      </w:r>
      <w:r>
        <w:rPr>
          <w:rFonts w:ascii="宋体" w:hAnsi="宋体" w:eastAsia="宋体" w:cs="宋体"/>
          <w:sz w:val="20"/>
          <w:szCs w:val="20"/>
        </w:rPr>
        <w:t>GB</w:t>
      </w:r>
      <w:r>
        <w:rPr>
          <w:rFonts w:ascii="宋体" w:hAnsi="宋体" w:eastAsia="宋体" w:cs="宋体"/>
          <w:spacing w:val="5"/>
          <w:sz w:val="20"/>
          <w:szCs w:val="20"/>
        </w:rPr>
        <w:t>/T</w:t>
      </w:r>
      <w:r>
        <w:rPr>
          <w:rFonts w:ascii="宋体" w:hAnsi="宋体" w:eastAsia="宋体" w:cs="宋体"/>
          <w:spacing w:val="28"/>
          <w:sz w:val="20"/>
          <w:szCs w:val="20"/>
        </w:rPr>
        <w:t xml:space="preserve"> </w:t>
      </w:r>
      <w:r>
        <w:rPr>
          <w:rFonts w:ascii="宋体" w:hAnsi="宋体" w:eastAsia="宋体" w:cs="宋体"/>
          <w:spacing w:val="5"/>
          <w:sz w:val="20"/>
          <w:szCs w:val="20"/>
        </w:rPr>
        <w:t>191</w:t>
      </w:r>
      <w:r>
        <w:rPr>
          <w:rFonts w:ascii="宋体" w:hAnsi="宋体" w:eastAsia="宋体" w:cs="宋体"/>
          <w:spacing w:val="-40"/>
          <w:sz w:val="20"/>
          <w:szCs w:val="20"/>
        </w:rPr>
        <w:t xml:space="preserve"> </w:t>
      </w:r>
      <w:r>
        <w:rPr>
          <w:rFonts w:ascii="宋体" w:hAnsi="宋体" w:eastAsia="宋体" w:cs="宋体"/>
          <w:spacing w:val="5"/>
          <w:sz w:val="20"/>
          <w:szCs w:val="20"/>
        </w:rPr>
        <w:t>规定。</w:t>
      </w:r>
    </w:p>
    <w:p w14:paraId="0F027012">
      <w:pPr>
        <w:spacing w:before="65" w:line="231" w:lineRule="auto"/>
        <w:ind w:left="1"/>
        <w:outlineLvl w:val="2"/>
        <w:rPr>
          <w:rFonts w:ascii="黑体" w:hAnsi="黑体" w:eastAsia="黑体" w:cs="黑体"/>
          <w:spacing w:val="3"/>
          <w:sz w:val="20"/>
          <w:szCs w:val="20"/>
        </w:rPr>
      </w:pPr>
      <w:r>
        <w:rPr>
          <w:rFonts w:ascii="黑体" w:hAnsi="黑体" w:eastAsia="黑体" w:cs="黑体"/>
          <w:spacing w:val="3"/>
          <w:sz w:val="20"/>
          <w:szCs w:val="20"/>
        </w:rPr>
        <w:t>7.2  包装</w:t>
      </w:r>
    </w:p>
    <w:p w14:paraId="53620256">
      <w:pPr>
        <w:spacing w:before="217" w:line="227" w:lineRule="auto"/>
        <w:ind w:left="420"/>
        <w:outlineLvl w:val="2"/>
        <w:rPr>
          <w:rFonts w:ascii="宋体" w:hAnsi="宋体" w:eastAsia="宋体" w:cs="宋体"/>
          <w:sz w:val="20"/>
          <w:szCs w:val="20"/>
        </w:rPr>
      </w:pPr>
      <w:r>
        <w:rPr>
          <w:rFonts w:ascii="宋体" w:hAnsi="宋体" w:eastAsia="宋体" w:cs="宋体"/>
          <w:spacing w:val="9"/>
          <w:sz w:val="20"/>
          <w:szCs w:val="20"/>
        </w:rPr>
        <w:t>包装材料和容器应符合相关标准和有关法律法规的规定。产品外包装应严密、无破损。</w:t>
      </w:r>
    </w:p>
    <w:p w14:paraId="25F05BBE">
      <w:pPr>
        <w:spacing w:before="229" w:line="231" w:lineRule="auto"/>
        <w:outlineLvl w:val="2"/>
        <w:rPr>
          <w:rFonts w:ascii="黑体" w:hAnsi="黑体" w:eastAsia="黑体" w:cs="黑体"/>
          <w:spacing w:val="6"/>
          <w:sz w:val="20"/>
          <w:szCs w:val="20"/>
        </w:rPr>
      </w:pPr>
      <w:r>
        <w:rPr>
          <w:rFonts w:ascii="黑体" w:hAnsi="黑体" w:eastAsia="黑体" w:cs="黑体"/>
          <w:spacing w:val="6"/>
          <w:sz w:val="20"/>
          <w:szCs w:val="20"/>
        </w:rPr>
        <w:t>7.3  贮存</w:t>
      </w:r>
    </w:p>
    <w:p w14:paraId="1C0C3C89">
      <w:pPr>
        <w:keepNext w:val="0"/>
        <w:keepLines w:val="0"/>
        <w:pageBreakBefore w:val="0"/>
        <w:widowControl/>
        <w:kinsoku w:val="0"/>
        <w:wordWrap/>
        <w:overflowPunct/>
        <w:topLinePunct w:val="0"/>
        <w:autoSpaceDE w:val="0"/>
        <w:autoSpaceDN w:val="0"/>
        <w:bidi w:val="0"/>
        <w:adjustRightInd w:val="0"/>
        <w:snapToGrid w:val="0"/>
        <w:spacing w:before="217" w:line="360" w:lineRule="auto"/>
        <w:ind w:firstLine="436" w:firstLineChars="200"/>
        <w:textAlignment w:val="baseline"/>
        <w:outlineLvl w:val="2"/>
        <w:rPr>
          <w:rFonts w:ascii="宋体" w:hAnsi="宋体" w:eastAsia="宋体" w:cs="宋体"/>
          <w:spacing w:val="9"/>
          <w:sz w:val="20"/>
          <w:szCs w:val="20"/>
        </w:rPr>
      </w:pPr>
      <w:r>
        <w:rPr>
          <w:rFonts w:ascii="宋体" w:hAnsi="宋体" w:eastAsia="宋体" w:cs="宋体"/>
          <w:spacing w:val="9"/>
          <w:sz w:val="20"/>
          <w:szCs w:val="20"/>
        </w:rPr>
        <w:t>产</w:t>
      </w:r>
      <w:r>
        <w:rPr>
          <w:rFonts w:hint="eastAsia" w:ascii="宋体" w:hAnsi="宋体" w:eastAsia="宋体" w:cs="宋体"/>
          <w:spacing w:val="9"/>
          <w:sz w:val="20"/>
          <w:szCs w:val="20"/>
          <w:lang w:val="en-US" w:eastAsia="zh-CN"/>
        </w:rPr>
        <w:t>品</w:t>
      </w:r>
      <w:r>
        <w:rPr>
          <w:rFonts w:ascii="宋体" w:hAnsi="宋体" w:eastAsia="宋体" w:cs="宋体"/>
          <w:spacing w:val="9"/>
          <w:sz w:val="20"/>
          <w:szCs w:val="20"/>
        </w:rPr>
        <w:t>应在清洁、干燥、通风避光、无虫害、无鼠害的仓库内贮存,</w:t>
      </w:r>
      <w:r>
        <w:rPr>
          <w:rFonts w:hint="default" w:ascii="宋体" w:hAnsi="宋体" w:eastAsia="宋体" w:cs="宋体"/>
          <w:spacing w:val="9"/>
          <w:sz w:val="20"/>
          <w:szCs w:val="20"/>
          <w:lang w:val="en-US" w:eastAsia="zh-CN"/>
        </w:rPr>
        <w:t>不得与有毒、有害、有异味的物品一同贮存</w:t>
      </w:r>
      <w:r>
        <w:rPr>
          <w:rFonts w:ascii="宋体" w:hAnsi="宋体" w:eastAsia="宋体" w:cs="宋体"/>
          <w:spacing w:val="9"/>
          <w:sz w:val="20"/>
          <w:szCs w:val="20"/>
        </w:rPr>
        <w:t>。</w:t>
      </w:r>
    </w:p>
    <w:p w14:paraId="3DAC8BB5">
      <w:pPr>
        <w:spacing w:before="65" w:line="231" w:lineRule="auto"/>
        <w:ind w:left="1"/>
        <w:outlineLvl w:val="2"/>
        <w:rPr>
          <w:rFonts w:ascii="黑体" w:hAnsi="黑体" w:eastAsia="黑体" w:cs="黑体"/>
          <w:spacing w:val="3"/>
          <w:sz w:val="20"/>
          <w:szCs w:val="20"/>
        </w:rPr>
      </w:pPr>
      <w:r>
        <w:rPr>
          <w:rFonts w:ascii="黑体" w:hAnsi="黑体" w:eastAsia="黑体" w:cs="黑体"/>
          <w:spacing w:val="3"/>
          <w:sz w:val="20"/>
          <w:szCs w:val="20"/>
        </w:rPr>
        <w:t>7.4  运输</w:t>
      </w:r>
    </w:p>
    <w:p w14:paraId="0602BF5A">
      <w:pPr>
        <w:keepNext w:val="0"/>
        <w:keepLines w:val="0"/>
        <w:pageBreakBefore w:val="0"/>
        <w:widowControl/>
        <w:kinsoku w:val="0"/>
        <w:wordWrap/>
        <w:overflowPunct/>
        <w:topLinePunct w:val="0"/>
        <w:autoSpaceDE w:val="0"/>
        <w:autoSpaceDN w:val="0"/>
        <w:bidi w:val="0"/>
        <w:adjustRightInd w:val="0"/>
        <w:snapToGrid w:val="0"/>
        <w:spacing w:before="217" w:line="360" w:lineRule="auto"/>
        <w:ind w:firstLine="436" w:firstLineChars="200"/>
        <w:textAlignment w:val="baseline"/>
        <w:outlineLvl w:val="2"/>
        <w:rPr>
          <w:rFonts w:ascii="宋体" w:hAnsi="宋体" w:eastAsia="宋体" w:cs="宋体"/>
          <w:spacing w:val="9"/>
          <w:sz w:val="20"/>
          <w:szCs w:val="20"/>
        </w:rPr>
      </w:pPr>
      <w:r>
        <w:rPr>
          <w:rFonts w:ascii="宋体" w:hAnsi="宋体" w:eastAsia="宋体" w:cs="宋体"/>
          <w:spacing w:val="9"/>
          <w:sz w:val="20"/>
          <w:szCs w:val="20"/>
        </w:rPr>
        <w:t>本产品运输过程中应</w:t>
      </w:r>
      <w:r>
        <w:rPr>
          <w:rFonts w:hint="default" w:ascii="宋体" w:hAnsi="宋体" w:eastAsia="宋体" w:cs="宋体"/>
          <w:spacing w:val="9"/>
          <w:sz w:val="20"/>
          <w:szCs w:val="20"/>
          <w:lang w:val="en-US" w:eastAsia="zh-CN"/>
        </w:rPr>
        <w:t>避免日光直射、雨淋、显著的温湿度变化和剧烈撞击等</w:t>
      </w:r>
      <w:r>
        <w:rPr>
          <w:rFonts w:hint="eastAsia" w:ascii="宋体" w:hAnsi="宋体" w:eastAsia="宋体" w:cs="宋体"/>
          <w:spacing w:val="9"/>
          <w:sz w:val="20"/>
          <w:szCs w:val="20"/>
          <w:lang w:val="en-US" w:eastAsia="zh-CN"/>
        </w:rPr>
        <w:t>，</w:t>
      </w:r>
      <w:r>
        <w:rPr>
          <w:rFonts w:hint="default" w:ascii="宋体" w:hAnsi="宋体" w:eastAsia="宋体" w:cs="宋体"/>
          <w:spacing w:val="9"/>
          <w:sz w:val="20"/>
          <w:szCs w:val="20"/>
          <w:lang w:val="en-US" w:eastAsia="zh-CN"/>
        </w:rPr>
        <w:t>防止食品受到不良</w:t>
      </w:r>
      <w:r>
        <w:rPr>
          <w:rFonts w:hint="eastAsia" w:ascii="宋体" w:hAnsi="宋体" w:eastAsia="宋体" w:cs="宋体"/>
          <w:spacing w:val="9"/>
          <w:sz w:val="20"/>
          <w:szCs w:val="20"/>
          <w:lang w:val="en-US" w:eastAsia="zh-CN"/>
        </w:rPr>
        <w:t>影响，</w:t>
      </w:r>
      <w:r>
        <w:rPr>
          <w:rFonts w:hint="default" w:ascii="宋体" w:hAnsi="宋体" w:eastAsia="宋体" w:cs="宋体"/>
          <w:spacing w:val="9"/>
          <w:sz w:val="20"/>
          <w:szCs w:val="20"/>
          <w:lang w:val="en-US" w:eastAsia="zh-CN"/>
        </w:rPr>
        <w:t>不得与有毒、有害、有异味的物品一同</w:t>
      </w:r>
      <w:r>
        <w:rPr>
          <w:rFonts w:hint="eastAsia" w:ascii="宋体" w:hAnsi="宋体" w:eastAsia="宋体" w:cs="宋体"/>
          <w:spacing w:val="9"/>
          <w:sz w:val="20"/>
          <w:szCs w:val="20"/>
          <w:lang w:val="en-US" w:eastAsia="zh-CN"/>
        </w:rPr>
        <w:t>运输</w:t>
      </w:r>
      <w:r>
        <w:rPr>
          <w:rFonts w:hint="eastAsia" w:ascii="宋体" w:hAnsi="宋体" w:eastAsia="宋体" w:cs="宋体"/>
          <w:spacing w:val="9"/>
          <w:sz w:val="20"/>
          <w:szCs w:val="20"/>
          <w:lang w:eastAsia="zh-CN"/>
        </w:rPr>
        <w:t>，</w:t>
      </w:r>
      <w:r>
        <w:rPr>
          <w:rFonts w:ascii="宋体" w:hAnsi="宋体" w:eastAsia="宋体" w:cs="宋体"/>
          <w:spacing w:val="9"/>
          <w:sz w:val="20"/>
          <w:szCs w:val="20"/>
        </w:rPr>
        <w:t>运输工具应保持</w:t>
      </w:r>
      <w:r>
        <w:rPr>
          <w:rFonts w:hint="eastAsia" w:ascii="宋体" w:hAnsi="宋体" w:eastAsia="宋体" w:cs="宋体"/>
          <w:spacing w:val="9"/>
          <w:sz w:val="20"/>
          <w:szCs w:val="20"/>
          <w:lang w:val="en-US" w:eastAsia="zh-CN"/>
        </w:rPr>
        <w:t>安全、无害，保持</w:t>
      </w:r>
      <w:r>
        <w:rPr>
          <w:rFonts w:ascii="宋体" w:hAnsi="宋体" w:eastAsia="宋体" w:cs="宋体"/>
          <w:spacing w:val="9"/>
          <w:sz w:val="20"/>
          <w:szCs w:val="20"/>
        </w:rPr>
        <w:t>清洁，无异味。</w:t>
      </w:r>
    </w:p>
    <w:p w14:paraId="37F405E8">
      <w:pPr>
        <w:keepNext w:val="0"/>
        <w:keepLines w:val="0"/>
        <w:pageBreakBefore w:val="0"/>
        <w:widowControl/>
        <w:kinsoku w:val="0"/>
        <w:wordWrap/>
        <w:overflowPunct/>
        <w:topLinePunct w:val="0"/>
        <w:autoSpaceDE w:val="0"/>
        <w:autoSpaceDN w:val="0"/>
        <w:bidi w:val="0"/>
        <w:adjustRightInd w:val="0"/>
        <w:snapToGrid w:val="0"/>
        <w:spacing w:before="217" w:line="360" w:lineRule="auto"/>
        <w:ind w:firstLine="436" w:firstLineChars="200"/>
        <w:textAlignment w:val="baseline"/>
        <w:outlineLvl w:val="2"/>
        <w:rPr>
          <w:rFonts w:ascii="宋体" w:hAnsi="宋体" w:eastAsia="宋体" w:cs="宋体"/>
          <w:spacing w:val="9"/>
          <w:sz w:val="20"/>
          <w:szCs w:val="20"/>
        </w:rPr>
      </w:pPr>
    </w:p>
    <w:p w14:paraId="06905EFC">
      <w:pPr>
        <w:keepNext w:val="0"/>
        <w:keepLines w:val="0"/>
        <w:pageBreakBefore w:val="0"/>
        <w:widowControl/>
        <w:kinsoku w:val="0"/>
        <w:wordWrap/>
        <w:overflowPunct/>
        <w:topLinePunct w:val="0"/>
        <w:autoSpaceDE w:val="0"/>
        <w:autoSpaceDN w:val="0"/>
        <w:bidi w:val="0"/>
        <w:adjustRightInd w:val="0"/>
        <w:snapToGrid w:val="0"/>
        <w:spacing w:before="217" w:line="360" w:lineRule="auto"/>
        <w:ind w:firstLine="436" w:firstLineChars="200"/>
        <w:textAlignment w:val="baseline"/>
        <w:outlineLvl w:val="2"/>
        <w:rPr>
          <w:rFonts w:ascii="宋体" w:hAnsi="宋体" w:eastAsia="宋体" w:cs="宋体"/>
          <w:spacing w:val="9"/>
          <w:sz w:val="20"/>
          <w:szCs w:val="20"/>
        </w:rPr>
      </w:pPr>
    </w:p>
    <w:p w14:paraId="36C0963A">
      <w:pPr>
        <w:spacing w:line="45" w:lineRule="exact"/>
        <w:ind w:firstLine="2526"/>
      </w:pPr>
      <w:r>
        <w:drawing>
          <wp:inline distT="0" distB="0" distL="0" distR="0">
            <wp:extent cx="2190750" cy="2857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1"/>
                    <a:stretch>
                      <a:fillRect/>
                    </a:stretch>
                  </pic:blipFill>
                  <pic:spPr>
                    <a:xfrm>
                      <a:off x="0" y="0"/>
                      <a:ext cx="2190826" cy="28575"/>
                    </a:xfrm>
                    <a:prstGeom prst="rect">
                      <a:avLst/>
                    </a:prstGeom>
                  </pic:spPr>
                </pic:pic>
              </a:graphicData>
            </a:graphic>
          </wp:inline>
        </w:drawing>
      </w:r>
    </w:p>
    <w:p w14:paraId="745ADFB3">
      <w:pPr>
        <w:spacing w:line="45" w:lineRule="exact"/>
        <w:sectPr>
          <w:headerReference r:id="rId5" w:type="default"/>
          <w:footerReference r:id="rId6" w:type="default"/>
          <w:pgSz w:w="11906" w:h="16839"/>
          <w:pgMar w:top="1715" w:right="1063" w:bottom="400" w:left="1425" w:header="1393" w:footer="0" w:gutter="0"/>
          <w:cols w:space="720" w:num="1"/>
        </w:sectPr>
      </w:pPr>
    </w:p>
    <w:p w14:paraId="210E62E1">
      <w:pPr>
        <w:pStyle w:val="2"/>
        <w:spacing w:line="244" w:lineRule="auto"/>
      </w:pPr>
    </w:p>
    <w:p w14:paraId="3B29F580">
      <w:pPr>
        <w:pStyle w:val="2"/>
        <w:spacing w:line="244" w:lineRule="auto"/>
      </w:pPr>
    </w:p>
    <w:p w14:paraId="6D18BB8B">
      <w:pPr>
        <w:pStyle w:val="2"/>
        <w:spacing w:line="244" w:lineRule="auto"/>
      </w:pPr>
    </w:p>
    <w:p w14:paraId="0C5D9714">
      <w:pPr>
        <w:pStyle w:val="2"/>
        <w:spacing w:line="244" w:lineRule="auto"/>
      </w:pPr>
    </w:p>
    <w:p w14:paraId="68C58C49">
      <w:pPr>
        <w:pStyle w:val="2"/>
        <w:spacing w:line="244" w:lineRule="auto"/>
      </w:pPr>
    </w:p>
    <w:p w14:paraId="50338055">
      <w:pPr>
        <w:pStyle w:val="2"/>
        <w:spacing w:line="244" w:lineRule="auto"/>
      </w:pPr>
    </w:p>
    <w:p w14:paraId="02029432">
      <w:pPr>
        <w:pStyle w:val="2"/>
        <w:spacing w:line="244" w:lineRule="auto"/>
      </w:pPr>
    </w:p>
    <w:p w14:paraId="6B3A36B7">
      <w:pPr>
        <w:pStyle w:val="2"/>
        <w:spacing w:line="244" w:lineRule="auto"/>
      </w:pPr>
    </w:p>
    <w:p w14:paraId="292997CC">
      <w:pPr>
        <w:pStyle w:val="2"/>
        <w:spacing w:line="244" w:lineRule="auto"/>
      </w:pPr>
    </w:p>
    <w:p w14:paraId="1E332044">
      <w:pPr>
        <w:pStyle w:val="2"/>
        <w:spacing w:line="244" w:lineRule="auto"/>
      </w:pPr>
    </w:p>
    <w:p w14:paraId="04E73146">
      <w:pPr>
        <w:pStyle w:val="2"/>
        <w:spacing w:line="244" w:lineRule="auto"/>
      </w:pPr>
    </w:p>
    <w:p w14:paraId="73199B72">
      <w:pPr>
        <w:pStyle w:val="2"/>
        <w:spacing w:line="244" w:lineRule="auto"/>
      </w:pPr>
    </w:p>
    <w:p w14:paraId="6CBBF40B">
      <w:pPr>
        <w:pStyle w:val="2"/>
        <w:spacing w:line="244" w:lineRule="auto"/>
      </w:pPr>
    </w:p>
    <w:p w14:paraId="6ADFB021">
      <w:pPr>
        <w:pStyle w:val="2"/>
        <w:spacing w:line="244" w:lineRule="auto"/>
      </w:pPr>
    </w:p>
    <w:p w14:paraId="202D2BB4">
      <w:pPr>
        <w:pStyle w:val="2"/>
        <w:spacing w:line="244" w:lineRule="auto"/>
      </w:pPr>
    </w:p>
    <w:p w14:paraId="05310479">
      <w:pPr>
        <w:pStyle w:val="2"/>
        <w:spacing w:line="244" w:lineRule="auto"/>
      </w:pPr>
    </w:p>
    <w:p w14:paraId="7F908F92">
      <w:pPr>
        <w:pStyle w:val="2"/>
        <w:spacing w:line="245" w:lineRule="auto"/>
      </w:pPr>
    </w:p>
    <w:p w14:paraId="03CFC747">
      <w:pPr>
        <w:pStyle w:val="2"/>
        <w:spacing w:line="245" w:lineRule="auto"/>
      </w:pPr>
    </w:p>
    <w:p w14:paraId="197969BD">
      <w:pPr>
        <w:pStyle w:val="2"/>
        <w:spacing w:line="245" w:lineRule="auto"/>
      </w:pPr>
    </w:p>
    <w:p w14:paraId="4DDA8BE2">
      <w:pPr>
        <w:pStyle w:val="2"/>
        <w:spacing w:line="245" w:lineRule="auto"/>
      </w:pPr>
    </w:p>
    <w:p w14:paraId="26A54041">
      <w:pPr>
        <w:pStyle w:val="2"/>
        <w:spacing w:line="245" w:lineRule="auto"/>
      </w:pPr>
      <w:r>
        <mc:AlternateContent>
          <mc:Choice Requires="wps">
            <w:drawing>
              <wp:anchor distT="0" distB="0" distL="0" distR="0" simplePos="0" relativeHeight="251661312" behindDoc="0" locked="0" layoutInCell="1" allowOverlap="1">
                <wp:simplePos x="0" y="0"/>
                <wp:positionH relativeFrom="column">
                  <wp:posOffset>5173980</wp:posOffset>
                </wp:positionH>
                <wp:positionV relativeFrom="paragraph">
                  <wp:posOffset>701675</wp:posOffset>
                </wp:positionV>
                <wp:extent cx="1539875" cy="299085"/>
                <wp:effectExtent l="0" t="0" r="0" b="0"/>
                <wp:wrapNone/>
                <wp:docPr id="8" name="TextBox 8"/>
                <wp:cNvGraphicFramePr/>
                <a:graphic xmlns:a="http://schemas.openxmlformats.org/drawingml/2006/main">
                  <a:graphicData uri="http://schemas.microsoft.com/office/word/2010/wordprocessingShape">
                    <wps:wsp>
                      <wps:cNvSpPr txBox="1"/>
                      <wps:spPr>
                        <a:xfrm rot="16200000">
                          <a:off x="5054303" y="738571"/>
                          <a:ext cx="1539875" cy="299084"/>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0A64CA32">
                            <w:pPr>
                              <w:spacing w:before="92" w:line="236" w:lineRule="auto"/>
                              <w:ind w:left="20"/>
                              <w:rPr>
                                <w:rFonts w:hint="eastAsia" w:ascii="黑体" w:hAnsi="黑体" w:eastAsia="黑体" w:cs="黑体"/>
                                <w:sz w:val="28"/>
                                <w:szCs w:val="28"/>
                                <w:lang w:val="en-US" w:eastAsia="zh-CN"/>
                              </w:rPr>
                            </w:pPr>
                            <w:r>
                              <w:rPr>
                                <w:rFonts w:ascii="黑体" w:hAnsi="黑体" w:eastAsia="黑体" w:cs="黑体"/>
                                <w:b/>
                                <w:bCs/>
                                <w:spacing w:val="-3"/>
                                <w:sz w:val="28"/>
                                <w:szCs w:val="28"/>
                              </w:rPr>
                              <w:t>T/H</w:t>
                            </w:r>
                            <w:r>
                              <w:rPr>
                                <w:rFonts w:hint="eastAsia" w:ascii="黑体" w:hAnsi="黑体" w:eastAsia="黑体" w:cs="黑体"/>
                                <w:b/>
                                <w:bCs/>
                                <w:spacing w:val="-3"/>
                                <w:sz w:val="28"/>
                                <w:szCs w:val="28"/>
                                <w:lang w:val="en-US" w:eastAsia="zh-CN"/>
                              </w:rPr>
                              <w:t>BFIA</w:t>
                            </w:r>
                            <w:r>
                              <w:rPr>
                                <w:rFonts w:ascii="黑体" w:hAnsi="黑体" w:eastAsia="黑体" w:cs="黑体"/>
                                <w:spacing w:val="-3"/>
                                <w:sz w:val="28"/>
                                <w:szCs w:val="28"/>
                              </w:rPr>
                              <w:t xml:space="preserve"> </w:t>
                            </w:r>
                            <w:r>
                              <w:rPr>
                                <w:rFonts w:ascii="黑体" w:hAnsi="黑体" w:eastAsia="黑体" w:cs="黑体"/>
                                <w:b/>
                                <w:bCs/>
                                <w:spacing w:val="-3"/>
                                <w:sz w:val="28"/>
                                <w:szCs w:val="28"/>
                              </w:rPr>
                              <w:t>000</w:t>
                            </w:r>
                            <w:r>
                              <w:rPr>
                                <w:rFonts w:hint="eastAsia" w:ascii="黑体" w:hAnsi="黑体" w:eastAsia="黑体" w:cs="黑体"/>
                                <w:b/>
                                <w:bCs/>
                                <w:spacing w:val="-3"/>
                                <w:sz w:val="28"/>
                                <w:szCs w:val="28"/>
                                <w:lang w:val="en-US" w:eastAsia="zh-CN"/>
                              </w:rPr>
                              <w:t>4</w:t>
                            </w:r>
                            <w:r>
                              <w:rPr>
                                <w:rFonts w:ascii="黑体" w:hAnsi="黑体" w:eastAsia="黑体" w:cs="黑体"/>
                                <w:b/>
                                <w:bCs/>
                                <w:spacing w:val="-3"/>
                                <w:sz w:val="28"/>
                                <w:szCs w:val="28"/>
                              </w:rPr>
                              <w:t>-202</w:t>
                            </w:r>
                            <w:r>
                              <w:rPr>
                                <w:rFonts w:hint="eastAsia" w:ascii="黑体" w:hAnsi="黑体" w:eastAsia="黑体" w:cs="黑体"/>
                                <w:b/>
                                <w:bCs/>
                                <w:spacing w:val="-3"/>
                                <w:sz w:val="28"/>
                                <w:szCs w:val="28"/>
                                <w:lang w:val="en-US" w:eastAsia="zh-CN"/>
                              </w:rPr>
                              <w:t>6</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8" o:spid="_x0000_s1026" o:spt="202" type="#_x0000_t202" style="position:absolute;left:0pt;margin-left:407.4pt;margin-top:55.25pt;height:23.55pt;width:121.25pt;rotation:-5898240f;z-index:251661312;mso-width-relative:page;mso-height-relative:page;" filled="f" stroked="f" coordsize="21600,21600" o:gfxdata="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CIW/2DaAAAADAEA&#10;AA8AAAAAAAAAAQAgAAAAIgAAAGRycy9kb3ducmV2LnhtbFBLAQIUABQAAAAIAIdO4kC+dNleUQIA&#10;AKEEAAAOAAAAAAAAAAEAIAAAACkBAABkcnMvZTJvRG9jLnhtbFBLBQYAAAAABgAGAFkBAADsBQAA&#10;AAA=&#10;">
                <v:fill on="f" focussize="0,0"/>
                <v:stroke on="f" weight="0pt" miterlimit="0" joinstyle="miter"/>
                <v:imagedata o:title=""/>
                <o:lock v:ext="edit" aspectratio="f"/>
                <v:textbox inset="0mm,0mm,0mm,0mm">
                  <w:txbxContent>
                    <w:p w14:paraId="0A64CA32">
                      <w:pPr>
                        <w:spacing w:before="92" w:line="236" w:lineRule="auto"/>
                        <w:ind w:left="20"/>
                        <w:rPr>
                          <w:rFonts w:hint="eastAsia" w:ascii="黑体" w:hAnsi="黑体" w:eastAsia="黑体" w:cs="黑体"/>
                          <w:sz w:val="28"/>
                          <w:szCs w:val="28"/>
                          <w:lang w:val="en-US" w:eastAsia="zh-CN"/>
                        </w:rPr>
                      </w:pPr>
                      <w:r>
                        <w:rPr>
                          <w:rFonts w:ascii="黑体" w:hAnsi="黑体" w:eastAsia="黑体" w:cs="黑体"/>
                          <w:b/>
                          <w:bCs/>
                          <w:spacing w:val="-3"/>
                          <w:sz w:val="28"/>
                          <w:szCs w:val="28"/>
                        </w:rPr>
                        <w:t>T/H</w:t>
                      </w:r>
                      <w:r>
                        <w:rPr>
                          <w:rFonts w:hint="eastAsia" w:ascii="黑体" w:hAnsi="黑体" w:eastAsia="黑体" w:cs="黑体"/>
                          <w:b/>
                          <w:bCs/>
                          <w:spacing w:val="-3"/>
                          <w:sz w:val="28"/>
                          <w:szCs w:val="28"/>
                          <w:lang w:val="en-US" w:eastAsia="zh-CN"/>
                        </w:rPr>
                        <w:t>BFIA</w:t>
                      </w:r>
                      <w:r>
                        <w:rPr>
                          <w:rFonts w:ascii="黑体" w:hAnsi="黑体" w:eastAsia="黑体" w:cs="黑体"/>
                          <w:spacing w:val="-3"/>
                          <w:sz w:val="28"/>
                          <w:szCs w:val="28"/>
                        </w:rPr>
                        <w:t xml:space="preserve"> </w:t>
                      </w:r>
                      <w:r>
                        <w:rPr>
                          <w:rFonts w:ascii="黑体" w:hAnsi="黑体" w:eastAsia="黑体" w:cs="黑体"/>
                          <w:b/>
                          <w:bCs/>
                          <w:spacing w:val="-3"/>
                          <w:sz w:val="28"/>
                          <w:szCs w:val="28"/>
                        </w:rPr>
                        <w:t>000</w:t>
                      </w:r>
                      <w:r>
                        <w:rPr>
                          <w:rFonts w:hint="eastAsia" w:ascii="黑体" w:hAnsi="黑体" w:eastAsia="黑体" w:cs="黑体"/>
                          <w:b/>
                          <w:bCs/>
                          <w:spacing w:val="-3"/>
                          <w:sz w:val="28"/>
                          <w:szCs w:val="28"/>
                          <w:lang w:val="en-US" w:eastAsia="zh-CN"/>
                        </w:rPr>
                        <w:t>4</w:t>
                      </w:r>
                      <w:r>
                        <w:rPr>
                          <w:rFonts w:ascii="黑体" w:hAnsi="黑体" w:eastAsia="黑体" w:cs="黑体"/>
                          <w:b/>
                          <w:bCs/>
                          <w:spacing w:val="-3"/>
                          <w:sz w:val="28"/>
                          <w:szCs w:val="28"/>
                        </w:rPr>
                        <w:t>-202</w:t>
                      </w:r>
                      <w:r>
                        <w:rPr>
                          <w:rFonts w:hint="eastAsia" w:ascii="黑体" w:hAnsi="黑体" w:eastAsia="黑体" w:cs="黑体"/>
                          <w:b/>
                          <w:bCs/>
                          <w:spacing w:val="-3"/>
                          <w:sz w:val="28"/>
                          <w:szCs w:val="28"/>
                          <w:lang w:val="en-US" w:eastAsia="zh-CN"/>
                        </w:rPr>
                        <w:t>6</w:t>
                      </w:r>
                    </w:p>
                  </w:txbxContent>
                </v:textbox>
              </v:shape>
            </w:pict>
          </mc:Fallback>
        </mc:AlternateContent>
      </w:r>
    </w:p>
    <w:p w14:paraId="5F3C8B9A">
      <w:pPr>
        <w:pStyle w:val="2"/>
        <w:spacing w:line="245" w:lineRule="auto"/>
      </w:pPr>
    </w:p>
    <w:p w14:paraId="647016C5">
      <w:pPr>
        <w:pStyle w:val="2"/>
        <w:spacing w:line="245" w:lineRule="auto"/>
      </w:pPr>
    </w:p>
    <w:p w14:paraId="384642D8">
      <w:pPr>
        <w:pStyle w:val="2"/>
        <w:spacing w:line="245" w:lineRule="auto"/>
      </w:pPr>
    </w:p>
    <w:p w14:paraId="62D58D29">
      <w:pPr>
        <w:pStyle w:val="2"/>
        <w:spacing w:line="245" w:lineRule="auto"/>
      </w:pPr>
    </w:p>
    <w:p w14:paraId="7B2D50D4">
      <w:pPr>
        <w:pStyle w:val="2"/>
        <w:spacing w:line="245" w:lineRule="auto"/>
      </w:pPr>
    </w:p>
    <w:p w14:paraId="1B86675F">
      <w:pPr>
        <w:pStyle w:val="2"/>
        <w:spacing w:line="245" w:lineRule="auto"/>
      </w:pPr>
    </w:p>
    <w:p w14:paraId="256CF797">
      <w:pPr>
        <w:pStyle w:val="2"/>
        <w:spacing w:line="245" w:lineRule="auto"/>
      </w:pPr>
    </w:p>
    <w:p w14:paraId="5A1A014E">
      <w:pPr>
        <w:pStyle w:val="2"/>
        <w:spacing w:line="245" w:lineRule="auto"/>
      </w:pPr>
    </w:p>
    <w:p w14:paraId="45E2B408">
      <w:pPr>
        <w:pStyle w:val="2"/>
        <w:spacing w:line="245" w:lineRule="auto"/>
      </w:pPr>
    </w:p>
    <w:p w14:paraId="648F7625">
      <w:pPr>
        <w:pStyle w:val="2"/>
        <w:spacing w:line="245" w:lineRule="auto"/>
      </w:pPr>
    </w:p>
    <w:p w14:paraId="4318A330">
      <w:pPr>
        <w:pStyle w:val="2"/>
        <w:spacing w:line="245" w:lineRule="auto"/>
      </w:pPr>
    </w:p>
    <w:p w14:paraId="6A04195C">
      <w:pPr>
        <w:pStyle w:val="2"/>
        <w:spacing w:line="245" w:lineRule="auto"/>
      </w:pPr>
    </w:p>
    <w:p w14:paraId="062A2602">
      <w:pPr>
        <w:pStyle w:val="2"/>
        <w:spacing w:line="245" w:lineRule="auto"/>
      </w:pPr>
    </w:p>
    <w:p w14:paraId="140975A5">
      <w:pPr>
        <w:pStyle w:val="2"/>
        <w:spacing w:line="245" w:lineRule="auto"/>
      </w:pPr>
    </w:p>
    <w:p w14:paraId="21F7B654">
      <w:pPr>
        <w:pStyle w:val="2"/>
        <w:spacing w:line="245" w:lineRule="auto"/>
      </w:pPr>
    </w:p>
    <w:p w14:paraId="546D6D7A">
      <w:pPr>
        <w:pStyle w:val="2"/>
        <w:spacing w:line="245" w:lineRule="auto"/>
      </w:pPr>
    </w:p>
    <w:p w14:paraId="1B34E9BB">
      <w:pPr>
        <w:spacing w:before="78" w:line="219" w:lineRule="auto"/>
        <w:ind w:left="5048"/>
        <w:rPr>
          <w:rFonts w:hint="default" w:ascii="宋体" w:hAnsi="宋体" w:eastAsia="宋体" w:cs="宋体"/>
          <w:sz w:val="24"/>
          <w:szCs w:val="24"/>
          <w:lang w:val="en-US" w:eastAsia="zh-CN"/>
        </w:rPr>
      </w:pPr>
      <w:r>
        <w:rPr>
          <w:rFonts w:ascii="宋体" w:hAnsi="宋体" w:eastAsia="宋体" w:cs="宋体"/>
          <w:spacing w:val="-10"/>
          <w:sz w:val="24"/>
          <w:szCs w:val="24"/>
        </w:rPr>
        <w:t>河 北</w:t>
      </w:r>
      <w:r>
        <w:rPr>
          <w:rFonts w:ascii="宋体" w:hAnsi="宋体" w:eastAsia="宋体" w:cs="宋体"/>
          <w:spacing w:val="20"/>
          <w:sz w:val="24"/>
          <w:szCs w:val="24"/>
        </w:rPr>
        <w:t xml:space="preserve"> </w:t>
      </w:r>
      <w:r>
        <w:rPr>
          <w:rFonts w:ascii="宋体" w:hAnsi="宋体" w:eastAsia="宋体" w:cs="宋体"/>
          <w:spacing w:val="-10"/>
          <w:sz w:val="24"/>
          <w:szCs w:val="24"/>
        </w:rPr>
        <w:t>省</w:t>
      </w:r>
      <w:r>
        <w:rPr>
          <w:rFonts w:ascii="宋体" w:hAnsi="宋体" w:eastAsia="宋体" w:cs="宋体"/>
          <w:spacing w:val="10"/>
          <w:sz w:val="24"/>
          <w:szCs w:val="24"/>
        </w:rPr>
        <w:t xml:space="preserve"> </w:t>
      </w:r>
      <w:r>
        <w:rPr>
          <w:rFonts w:ascii="宋体" w:hAnsi="宋体" w:eastAsia="宋体" w:cs="宋体"/>
          <w:spacing w:val="-10"/>
          <w:sz w:val="24"/>
          <w:szCs w:val="24"/>
        </w:rPr>
        <w:t>食</w:t>
      </w:r>
      <w:r>
        <w:rPr>
          <w:rFonts w:ascii="宋体" w:hAnsi="宋体" w:eastAsia="宋体" w:cs="宋体"/>
          <w:spacing w:val="29"/>
          <w:sz w:val="24"/>
          <w:szCs w:val="24"/>
        </w:rPr>
        <w:t xml:space="preserve"> </w:t>
      </w:r>
      <w:r>
        <w:rPr>
          <w:rFonts w:ascii="宋体" w:hAnsi="宋体" w:eastAsia="宋体" w:cs="宋体"/>
          <w:spacing w:val="-10"/>
          <w:sz w:val="24"/>
          <w:szCs w:val="24"/>
        </w:rPr>
        <w:t>品</w:t>
      </w:r>
      <w:r>
        <w:rPr>
          <w:rFonts w:ascii="宋体" w:hAnsi="宋体" w:eastAsia="宋体" w:cs="宋体"/>
          <w:spacing w:val="14"/>
          <w:sz w:val="24"/>
          <w:szCs w:val="24"/>
        </w:rPr>
        <w:t xml:space="preserve"> </w:t>
      </w:r>
      <w:r>
        <w:rPr>
          <w:rFonts w:hint="eastAsia" w:ascii="宋体" w:hAnsi="宋体" w:eastAsia="宋体" w:cs="宋体"/>
          <w:spacing w:val="-10"/>
          <w:sz w:val="24"/>
          <w:szCs w:val="24"/>
          <w:lang w:val="en-US" w:eastAsia="zh-CN"/>
        </w:rPr>
        <w:t>工 业 协 会</w:t>
      </w:r>
    </w:p>
    <w:p w14:paraId="7CE1B709">
      <w:pPr>
        <w:spacing w:before="27" w:line="220" w:lineRule="auto"/>
        <w:ind w:left="6150"/>
        <w:rPr>
          <w:rFonts w:ascii="宋体" w:hAnsi="宋体" w:eastAsia="宋体" w:cs="宋体"/>
          <w:sz w:val="24"/>
          <w:szCs w:val="24"/>
        </w:rPr>
      </w:pPr>
      <w:r>
        <w:rPr>
          <w:rFonts w:ascii="宋体" w:hAnsi="宋体" w:eastAsia="宋体" w:cs="宋体"/>
          <w:spacing w:val="-13"/>
          <w:sz w:val="24"/>
          <w:szCs w:val="24"/>
        </w:rPr>
        <w:t>团</w:t>
      </w:r>
      <w:r>
        <w:rPr>
          <w:rFonts w:ascii="宋体" w:hAnsi="宋体" w:eastAsia="宋体" w:cs="宋体"/>
          <w:spacing w:val="9"/>
          <w:sz w:val="24"/>
          <w:szCs w:val="24"/>
        </w:rPr>
        <w:t xml:space="preserve"> </w:t>
      </w:r>
      <w:r>
        <w:rPr>
          <w:rFonts w:ascii="宋体" w:hAnsi="宋体" w:eastAsia="宋体" w:cs="宋体"/>
          <w:spacing w:val="-13"/>
          <w:sz w:val="24"/>
          <w:szCs w:val="24"/>
        </w:rPr>
        <w:t>体</w:t>
      </w:r>
      <w:r>
        <w:rPr>
          <w:rFonts w:ascii="宋体" w:hAnsi="宋体" w:eastAsia="宋体" w:cs="宋体"/>
          <w:spacing w:val="11"/>
          <w:sz w:val="24"/>
          <w:szCs w:val="24"/>
        </w:rPr>
        <w:t xml:space="preserve"> </w:t>
      </w:r>
      <w:r>
        <w:rPr>
          <w:rFonts w:ascii="宋体" w:hAnsi="宋体" w:eastAsia="宋体" w:cs="宋体"/>
          <w:spacing w:val="-13"/>
          <w:sz w:val="24"/>
          <w:szCs w:val="24"/>
        </w:rPr>
        <w:t>标</w:t>
      </w:r>
      <w:r>
        <w:rPr>
          <w:rFonts w:ascii="宋体" w:hAnsi="宋体" w:eastAsia="宋体" w:cs="宋体"/>
          <w:spacing w:val="11"/>
          <w:sz w:val="24"/>
          <w:szCs w:val="24"/>
        </w:rPr>
        <w:t xml:space="preserve"> </w:t>
      </w:r>
      <w:r>
        <w:rPr>
          <w:rFonts w:ascii="宋体" w:hAnsi="宋体" w:eastAsia="宋体" w:cs="宋体"/>
          <w:spacing w:val="-13"/>
          <w:sz w:val="24"/>
          <w:szCs w:val="24"/>
        </w:rPr>
        <w:t>准</w:t>
      </w:r>
    </w:p>
    <w:p w14:paraId="3CD36094">
      <w:pPr>
        <w:pStyle w:val="2"/>
        <w:spacing w:line="258" w:lineRule="auto"/>
      </w:pPr>
    </w:p>
    <w:p w14:paraId="489EED08">
      <w:pPr>
        <w:spacing w:before="78" w:line="224" w:lineRule="auto"/>
        <w:ind w:left="6304"/>
        <w:rPr>
          <w:rFonts w:ascii="黑体" w:hAnsi="黑体" w:eastAsia="黑体" w:cs="黑体"/>
          <w:sz w:val="24"/>
          <w:szCs w:val="24"/>
        </w:rPr>
      </w:pPr>
      <w:r>
        <w:rPr>
          <w:rFonts w:hint="eastAsia" w:ascii="黑体" w:hAnsi="黑体" w:eastAsia="黑体" w:cs="黑体"/>
          <w:b/>
          <w:bCs/>
          <w:spacing w:val="-4"/>
          <w:sz w:val="24"/>
          <w:szCs w:val="24"/>
          <w:lang w:eastAsia="zh-CN"/>
        </w:rPr>
        <w:t>红枣</w:t>
      </w:r>
      <w:r>
        <w:rPr>
          <w:rFonts w:ascii="黑体" w:hAnsi="黑体" w:eastAsia="黑体" w:cs="黑体"/>
          <w:b/>
          <w:bCs/>
          <w:spacing w:val="-4"/>
          <w:sz w:val="24"/>
          <w:szCs w:val="24"/>
        </w:rPr>
        <w:t>制品</w:t>
      </w:r>
    </w:p>
    <w:p w14:paraId="665698AA">
      <w:pPr>
        <w:spacing w:before="21" w:line="235" w:lineRule="auto"/>
        <w:ind w:left="5762"/>
        <w:rPr>
          <w:rFonts w:hint="default" w:ascii="黑体" w:hAnsi="黑体" w:eastAsia="黑体" w:cs="黑体"/>
          <w:sz w:val="24"/>
          <w:szCs w:val="24"/>
          <w:lang w:val="en-US" w:eastAsia="zh-CN"/>
        </w:rPr>
      </w:pPr>
      <w:r>
        <w:rPr>
          <w:rFonts w:ascii="黑体" w:hAnsi="黑体" w:eastAsia="黑体" w:cs="黑体"/>
          <w:b/>
          <w:bCs/>
          <w:spacing w:val="-3"/>
          <w:sz w:val="24"/>
          <w:szCs w:val="24"/>
        </w:rPr>
        <w:t>T/H</w:t>
      </w:r>
      <w:r>
        <w:rPr>
          <w:rFonts w:hint="eastAsia" w:ascii="黑体" w:hAnsi="黑体" w:eastAsia="黑体" w:cs="黑体"/>
          <w:b/>
          <w:bCs/>
          <w:spacing w:val="-3"/>
          <w:sz w:val="24"/>
          <w:szCs w:val="24"/>
          <w:lang w:val="en-US" w:eastAsia="zh-CN"/>
        </w:rPr>
        <w:t>BFIA</w:t>
      </w:r>
      <w:r>
        <w:rPr>
          <w:rFonts w:ascii="黑体" w:hAnsi="黑体" w:eastAsia="黑体" w:cs="黑体"/>
          <w:spacing w:val="-3"/>
          <w:sz w:val="24"/>
          <w:szCs w:val="24"/>
        </w:rPr>
        <w:t xml:space="preserve"> </w:t>
      </w:r>
      <w:r>
        <w:rPr>
          <w:rFonts w:hint="eastAsia" w:ascii="黑体" w:hAnsi="黑体" w:eastAsia="黑体" w:cs="黑体"/>
          <w:b/>
          <w:bCs/>
          <w:spacing w:val="-3"/>
          <w:sz w:val="24"/>
          <w:szCs w:val="24"/>
          <w:lang w:val="en-US" w:eastAsia="zh-CN"/>
        </w:rPr>
        <w:t>0004</w:t>
      </w:r>
      <w:r>
        <w:rPr>
          <w:rFonts w:ascii="黑体" w:hAnsi="黑体" w:eastAsia="黑体" w:cs="黑体"/>
          <w:b/>
          <w:bCs/>
          <w:spacing w:val="-3"/>
          <w:sz w:val="24"/>
          <w:szCs w:val="24"/>
        </w:rPr>
        <w:t>-</w:t>
      </w:r>
      <w:r>
        <w:rPr>
          <w:rFonts w:hint="eastAsia" w:ascii="黑体" w:hAnsi="黑体" w:eastAsia="黑体" w:cs="黑体"/>
          <w:b/>
          <w:bCs/>
          <w:spacing w:val="-3"/>
          <w:sz w:val="24"/>
          <w:szCs w:val="24"/>
          <w:lang w:val="en-US" w:eastAsia="zh-CN"/>
        </w:rPr>
        <w:t>2026</w:t>
      </w:r>
    </w:p>
    <w:p w14:paraId="4A052309">
      <w:pPr>
        <w:pStyle w:val="2"/>
        <w:spacing w:line="264" w:lineRule="auto"/>
      </w:pPr>
    </w:p>
    <w:p w14:paraId="496A379D">
      <w:pPr>
        <w:spacing w:before="65" w:line="289" w:lineRule="auto"/>
        <w:ind w:left="4684" w:right="434" w:firstLine="425"/>
        <w:rPr>
          <w:rFonts w:ascii="宋体" w:hAnsi="宋体" w:eastAsia="宋体" w:cs="宋体"/>
          <w:sz w:val="20"/>
          <w:szCs w:val="20"/>
        </w:rPr>
      </w:pPr>
      <w:r>
        <w:rPr>
          <w:rFonts w:ascii="宋体" w:hAnsi="宋体" w:eastAsia="宋体" w:cs="宋体"/>
          <w:b/>
          <w:bCs/>
          <w:spacing w:val="7"/>
          <w:sz w:val="20"/>
          <w:szCs w:val="20"/>
        </w:rPr>
        <w:t>声明：本文件的知识产权归属于</w:t>
      </w:r>
      <w:r>
        <w:rPr>
          <w:rFonts w:hint="eastAsia" w:ascii="宋体" w:hAnsi="宋体" w:eastAsia="宋体" w:cs="宋体"/>
          <w:b/>
          <w:bCs/>
          <w:spacing w:val="7"/>
          <w:sz w:val="20"/>
          <w:szCs w:val="20"/>
          <w:lang w:eastAsia="zh-CN"/>
        </w:rPr>
        <w:t>河北省食品工业协会</w:t>
      </w:r>
      <w:r>
        <w:rPr>
          <w:rFonts w:ascii="宋体" w:hAnsi="宋体" w:eastAsia="宋体" w:cs="宋体"/>
          <w:b/>
          <w:bCs/>
          <w:spacing w:val="7"/>
          <w:sz w:val="20"/>
          <w:szCs w:val="20"/>
        </w:rPr>
        <w:t>，未经同意，不得印刷、销售。任何组织、个人使用本文件应经</w:t>
      </w:r>
      <w:r>
        <w:rPr>
          <w:rFonts w:hint="eastAsia" w:ascii="宋体" w:hAnsi="宋体" w:eastAsia="宋体" w:cs="宋体"/>
          <w:b/>
          <w:bCs/>
          <w:spacing w:val="7"/>
          <w:sz w:val="20"/>
          <w:szCs w:val="20"/>
          <w:lang w:eastAsia="zh-CN"/>
        </w:rPr>
        <w:t>河北省食品工业协会</w:t>
      </w:r>
      <w:r>
        <w:rPr>
          <w:rFonts w:ascii="宋体" w:hAnsi="宋体" w:eastAsia="宋体" w:cs="宋体"/>
          <w:b/>
          <w:bCs/>
          <w:spacing w:val="6"/>
          <w:sz w:val="20"/>
          <w:szCs w:val="20"/>
        </w:rPr>
        <w:t>批准授权。</w:t>
      </w:r>
    </w:p>
    <w:p w14:paraId="03C72904">
      <w:pPr>
        <w:pStyle w:val="2"/>
        <w:spacing w:line="242" w:lineRule="auto"/>
      </w:pPr>
    </w:p>
    <w:p w14:paraId="3CD581AD">
      <w:pPr>
        <w:spacing w:before="66" w:line="228" w:lineRule="auto"/>
        <w:ind w:left="5106"/>
        <w:rPr>
          <w:rFonts w:ascii="宋体" w:hAnsi="宋体" w:eastAsia="宋体" w:cs="宋体"/>
          <w:color w:val="auto"/>
          <w:sz w:val="20"/>
          <w:szCs w:val="20"/>
        </w:rPr>
      </w:pPr>
      <w:r>
        <w:rPr>
          <w:rFonts w:ascii="宋体" w:hAnsi="宋体" w:eastAsia="宋体" w:cs="宋体"/>
          <w:b/>
          <w:bCs/>
          <w:color w:val="auto"/>
          <w:spacing w:val="5"/>
          <w:sz w:val="20"/>
          <w:szCs w:val="20"/>
        </w:rPr>
        <w:t>使用备案网站：</w:t>
      </w:r>
    </w:p>
    <w:p w14:paraId="42794A30">
      <w:pPr>
        <w:spacing w:before="65" w:line="222" w:lineRule="auto"/>
        <w:ind w:left="5098"/>
        <w:rPr>
          <w:rFonts w:ascii="宋体" w:hAnsi="宋体" w:eastAsia="宋体" w:cs="宋体"/>
          <w:color w:val="auto"/>
          <w:sz w:val="20"/>
          <w:szCs w:val="20"/>
        </w:rPr>
      </w:pPr>
      <w:r>
        <w:rPr>
          <w:color w:val="auto"/>
        </w:rPr>
        <w:fldChar w:fldCharType="begin"/>
      </w:r>
      <w:r>
        <w:rPr>
          <w:color w:val="auto"/>
        </w:rPr>
        <w:instrText xml:space="preserve"> HYPERLINK "https://www.chinafoods.org.cn/" </w:instrText>
      </w:r>
      <w:r>
        <w:rPr>
          <w:color w:val="auto"/>
        </w:rPr>
        <w:fldChar w:fldCharType="separate"/>
      </w:r>
      <w:r>
        <w:rPr>
          <w:rFonts w:ascii="宋体" w:hAnsi="宋体" w:eastAsia="宋体" w:cs="宋体"/>
          <w:b/>
          <w:bCs/>
          <w:color w:val="auto"/>
          <w:sz w:val="20"/>
          <w:szCs w:val="20"/>
        </w:rPr>
        <w:t>www.hebspw.com</w:t>
      </w:r>
      <w:r>
        <w:rPr>
          <w:rFonts w:ascii="宋体" w:hAnsi="宋体" w:eastAsia="宋体" w:cs="宋体"/>
          <w:b/>
          <w:bCs/>
          <w:color w:val="auto"/>
          <w:spacing w:val="19"/>
          <w:sz w:val="20"/>
          <w:szCs w:val="20"/>
        </w:rPr>
        <w:fldChar w:fldCharType="end"/>
      </w:r>
    </w:p>
    <w:p w14:paraId="143E4A3E">
      <w:pPr>
        <w:spacing w:before="72" w:line="230" w:lineRule="auto"/>
        <w:ind w:left="5107"/>
        <w:rPr>
          <w:rFonts w:ascii="黑体" w:hAnsi="黑体" w:eastAsia="黑体" w:cs="黑体"/>
          <w:color w:val="auto"/>
          <w:sz w:val="20"/>
          <w:szCs w:val="20"/>
        </w:rPr>
      </w:pPr>
      <w:r>
        <w:rPr>
          <w:rFonts w:ascii="黑体" w:hAnsi="黑体" w:eastAsia="黑体" w:cs="黑体"/>
          <w:color w:val="auto"/>
          <w:spacing w:val="7"/>
          <w:sz w:val="20"/>
          <w:szCs w:val="20"/>
        </w:rPr>
        <w:t>版权专有  侵权必究</w:t>
      </w:r>
    </w:p>
    <w:p w14:paraId="0DB474DC">
      <w:pPr>
        <w:spacing w:before="63" w:line="231" w:lineRule="auto"/>
        <w:ind w:left="5105"/>
        <w:rPr>
          <w:rFonts w:ascii="黑体" w:hAnsi="黑体" w:eastAsia="黑体" w:cs="黑体"/>
          <w:color w:val="FF0000"/>
          <w:sz w:val="20"/>
          <w:szCs w:val="20"/>
        </w:rPr>
      </w:pPr>
    </w:p>
    <w:sectPr>
      <w:headerReference r:id="rId7" w:type="default"/>
      <w:pgSz w:w="11906" w:h="16839"/>
      <w:pgMar w:top="1715" w:right="805" w:bottom="400" w:left="1785" w:header="1393"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74E7A">
    <w:pPr>
      <w:pStyle w:val="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E38B">
    <w:pPr>
      <w:spacing w:before="42" w:line="264" w:lineRule="exact"/>
      <w:jc w:val="right"/>
      <w:rPr>
        <w:rFonts w:hint="default"/>
        <w:lang w:val="en-US" w:eastAsia="zh-CN"/>
      </w:rPr>
    </w:pPr>
    <w:r>
      <w:rPr>
        <w:rFonts w:ascii="黑体" w:hAnsi="黑体" w:eastAsia="黑体" w:cs="黑体"/>
        <w:spacing w:val="20"/>
        <w:position w:val="1"/>
        <w:sz w:val="20"/>
        <w:szCs w:val="20"/>
      </w:rPr>
      <w:t>T/</w:t>
    </w:r>
    <w:r>
      <w:rPr>
        <w:rFonts w:ascii="黑体" w:hAnsi="黑体" w:eastAsia="黑体" w:cs="黑体"/>
        <w:position w:val="1"/>
        <w:sz w:val="20"/>
        <w:szCs w:val="20"/>
      </w:rPr>
      <w:t>H</w:t>
    </w:r>
    <w:r>
      <w:rPr>
        <w:rFonts w:hint="eastAsia" w:ascii="黑体" w:hAnsi="黑体" w:eastAsia="黑体" w:cs="黑体"/>
        <w:position w:val="1"/>
        <w:sz w:val="20"/>
        <w:szCs w:val="20"/>
        <w:lang w:val="en-US" w:eastAsia="zh-CN"/>
      </w:rPr>
      <w:t>BFIA</w:t>
    </w:r>
    <w:r>
      <w:rPr>
        <w:rFonts w:ascii="黑体" w:hAnsi="黑体" w:eastAsia="黑体" w:cs="黑体"/>
        <w:spacing w:val="20"/>
        <w:position w:val="1"/>
        <w:sz w:val="20"/>
        <w:szCs w:val="20"/>
      </w:rPr>
      <w:t xml:space="preserve"> </w:t>
    </w:r>
    <w:r>
      <w:rPr>
        <w:rFonts w:hint="eastAsia" w:ascii="黑体" w:hAnsi="黑体" w:eastAsia="黑体" w:cs="黑体"/>
        <w:position w:val="1"/>
        <w:sz w:val="20"/>
        <w:szCs w:val="20"/>
        <w:lang w:val="en-US" w:eastAsia="zh-CN"/>
      </w:rPr>
      <w:t>0004</w:t>
    </w:r>
    <w:r>
      <w:rPr>
        <w:rFonts w:ascii="Times New Roman" w:hAnsi="Times New Roman" w:eastAsia="Times New Roman" w:cs="Times New Roman"/>
        <w:spacing w:val="20"/>
        <w:position w:val="1"/>
        <w:sz w:val="20"/>
        <w:szCs w:val="20"/>
      </w:rPr>
      <w:t>—</w:t>
    </w:r>
    <w:r>
      <w:rPr>
        <w:rFonts w:hint="eastAsia" w:ascii="黑体" w:hAnsi="黑体" w:eastAsia="黑体" w:cs="黑体"/>
        <w:position w:val="1"/>
        <w:sz w:val="20"/>
        <w:szCs w:val="20"/>
        <w:lang w:val="en-US" w:eastAsia="zh-CN"/>
      </w:rPr>
      <w:t>2026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3FD1B">
    <w:pPr>
      <w:spacing w:before="42" w:line="264" w:lineRule="exact"/>
      <w:jc w:val="right"/>
      <w:rPr>
        <w:rFonts w:hint="default"/>
        <w:lang w:val="en-US" w:eastAsia="zh-CN"/>
      </w:rPr>
    </w:pPr>
    <w:r>
      <w:rPr>
        <w:rFonts w:ascii="黑体" w:hAnsi="黑体" w:eastAsia="黑体" w:cs="黑体"/>
        <w:spacing w:val="20"/>
        <w:position w:val="1"/>
        <w:sz w:val="20"/>
        <w:szCs w:val="20"/>
      </w:rPr>
      <w:t>T/</w:t>
    </w:r>
    <w:r>
      <w:rPr>
        <w:rFonts w:ascii="黑体" w:hAnsi="黑体" w:eastAsia="黑体" w:cs="黑体"/>
        <w:position w:val="1"/>
        <w:sz w:val="20"/>
        <w:szCs w:val="20"/>
      </w:rPr>
      <w:t>H</w:t>
    </w:r>
    <w:r>
      <w:rPr>
        <w:rFonts w:hint="eastAsia" w:ascii="黑体" w:hAnsi="黑体" w:eastAsia="黑体" w:cs="黑体"/>
        <w:position w:val="1"/>
        <w:sz w:val="20"/>
        <w:szCs w:val="20"/>
        <w:lang w:val="en-US" w:eastAsia="zh-CN"/>
      </w:rPr>
      <w:t>BFIA</w:t>
    </w:r>
    <w:r>
      <w:rPr>
        <w:rFonts w:ascii="黑体" w:hAnsi="黑体" w:eastAsia="黑体" w:cs="黑体"/>
        <w:spacing w:val="20"/>
        <w:position w:val="1"/>
        <w:sz w:val="20"/>
        <w:szCs w:val="20"/>
      </w:rPr>
      <w:t xml:space="preserve"> </w:t>
    </w:r>
    <w:r>
      <w:rPr>
        <w:rFonts w:hint="eastAsia" w:ascii="黑体" w:hAnsi="黑体" w:eastAsia="黑体" w:cs="黑体"/>
        <w:position w:val="1"/>
        <w:sz w:val="20"/>
        <w:szCs w:val="20"/>
        <w:lang w:val="en-US" w:eastAsia="zh-CN"/>
      </w:rPr>
      <w:t>0004</w:t>
    </w:r>
    <w:r>
      <w:rPr>
        <w:rFonts w:ascii="Times New Roman" w:hAnsi="Times New Roman" w:eastAsia="Times New Roman" w:cs="Times New Roman"/>
        <w:spacing w:val="20"/>
        <w:position w:val="1"/>
        <w:sz w:val="20"/>
        <w:szCs w:val="20"/>
      </w:rPr>
      <w:t>—</w:t>
    </w:r>
    <w:r>
      <w:rPr>
        <w:rFonts w:hint="eastAsia" w:ascii="黑体" w:hAnsi="黑体" w:eastAsia="黑体" w:cs="黑体"/>
        <w:position w:val="1"/>
        <w:sz w:val="20"/>
        <w:szCs w:val="20"/>
        <w:lang w:val="en-US" w:eastAsia="zh-CN"/>
      </w:rPr>
      <w:t>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E0AF7D"/>
    <w:multiLevelType w:val="singleLevel"/>
    <w:tmpl w:val="CBE0AF7D"/>
    <w:lvl w:ilvl="0" w:tentative="0">
      <w:start w:val="2026"/>
      <w:numFmt w:val="decimal"/>
      <w:suff w:val="space"/>
      <w:lvlText w:val="%1-"/>
      <w:lvlJc w:val="left"/>
    </w:lvl>
  </w:abstractNum>
  <w:abstractNum w:abstractNumId="1">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4"/>
      <w:suff w:val="nothing"/>
      <w:lvlText w:val="%1.%2　"/>
      <w:lvlJc w:val="left"/>
      <w:pPr>
        <w:ind w:left="0"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6CEA2025"/>
    <w:multiLevelType w:val="multilevel"/>
    <w:tmpl w:val="6CEA2025"/>
    <w:lvl w:ilvl="0" w:tentative="0">
      <w:start w:val="1"/>
      <w:numFmt w:val="none"/>
      <w:suff w:val="nothing"/>
      <w:lvlText w:val="%1"/>
      <w:lvlJc w:val="left"/>
      <w:rPr>
        <w:rFonts w:hint="default" w:ascii="Times New Roman" w:hAnsi="Times New Roman" w:cs="Times New Roman"/>
        <w:b/>
        <w:bCs/>
        <w:i w:val="0"/>
        <w:iCs w:val="0"/>
        <w:sz w:val="21"/>
        <w:szCs w:val="21"/>
      </w:rPr>
    </w:lvl>
    <w:lvl w:ilvl="1" w:tentative="0">
      <w:start w:val="1"/>
      <w:numFmt w:val="decimal"/>
      <w:pStyle w:val="11"/>
      <w:suff w:val="nothing"/>
      <w:lvlText w:val="%1%2　"/>
      <w:lvlJc w:val="left"/>
      <w:rPr>
        <w:rFonts w:hint="eastAsia" w:ascii="黑体" w:hAnsi="Times New Roman" w:eastAsia="黑体"/>
        <w:b w:val="0"/>
        <w:bCs w:val="0"/>
        <w:i w:val="0"/>
        <w:iCs w:val="0"/>
        <w:sz w:val="21"/>
        <w:szCs w:val="21"/>
      </w:rPr>
    </w:lvl>
    <w:lvl w:ilvl="2" w:tentative="0">
      <w:start w:val="1"/>
      <w:numFmt w:val="decimal"/>
      <w:suff w:val="nothing"/>
      <w:lvlText w:val="%1%2.%3　"/>
      <w:lvlJc w:val="left"/>
      <w:rPr>
        <w:rFonts w:hint="eastAsia" w:ascii="黑体" w:hAnsi="Times New Roman" w:eastAsia="黑体"/>
        <w:b w:val="0"/>
        <w:bCs w:val="0"/>
        <w:i w:val="0"/>
        <w:iCs w:val="0"/>
        <w:sz w:val="21"/>
        <w:szCs w:val="21"/>
      </w:rPr>
    </w:lvl>
    <w:lvl w:ilvl="3" w:tentative="0">
      <w:start w:val="1"/>
      <w:numFmt w:val="decimal"/>
      <w:suff w:val="nothing"/>
      <w:lvlText w:val="%1%2.%3.%4　"/>
      <w:lvlJc w:val="left"/>
      <w:rPr>
        <w:rFonts w:hint="eastAsia" w:ascii="黑体" w:hAnsi="Times New Roman" w:eastAsia="黑体"/>
        <w:b w:val="0"/>
        <w:bCs w:val="0"/>
        <w:i w:val="0"/>
        <w:iCs w:val="0"/>
        <w:sz w:val="21"/>
        <w:szCs w:val="21"/>
      </w:rPr>
    </w:lvl>
    <w:lvl w:ilvl="4" w:tentative="0">
      <w:start w:val="1"/>
      <w:numFmt w:val="decimal"/>
      <w:suff w:val="nothing"/>
      <w:lvlText w:val="%1%2.%3.%4.%5　"/>
      <w:lvlJc w:val="left"/>
      <w:rPr>
        <w:rFonts w:hint="eastAsia" w:ascii="黑体" w:hAnsi="Times New Roman" w:eastAsia="黑体"/>
        <w:b w:val="0"/>
        <w:bCs w:val="0"/>
        <w:i w:val="0"/>
        <w:iCs w:val="0"/>
        <w:sz w:val="21"/>
        <w:szCs w:val="21"/>
      </w:rPr>
    </w:lvl>
    <w:lvl w:ilvl="5" w:tentative="0">
      <w:start w:val="1"/>
      <w:numFmt w:val="decimal"/>
      <w:suff w:val="nothing"/>
      <w:lvlText w:val="%1%2.%3.%4.%5.%6　"/>
      <w:lvlJc w:val="left"/>
      <w:rPr>
        <w:rFonts w:hint="eastAsia" w:ascii="黑体" w:hAnsi="Times New Roman" w:eastAsia="黑体"/>
        <w:b w:val="0"/>
        <w:bCs w:val="0"/>
        <w:i w:val="0"/>
        <w:iCs w:val="0"/>
        <w:sz w:val="21"/>
        <w:szCs w:val="21"/>
      </w:rPr>
    </w:lvl>
    <w:lvl w:ilvl="6" w:tentative="0">
      <w:start w:val="1"/>
      <w:numFmt w:val="decimal"/>
      <w:suff w:val="nothing"/>
      <w:lvlText w:val="%1%2.%3.%4.%5.%6.%7　"/>
      <w:lvlJc w:val="left"/>
      <w:rPr>
        <w:rFonts w:hint="eastAsia" w:ascii="黑体" w:hAnsi="Times New Roman" w:eastAsia="黑体"/>
        <w:b w:val="0"/>
        <w:bCs w:val="0"/>
        <w:i w:val="0"/>
        <w:iCs w:val="0"/>
        <w:sz w:val="21"/>
        <w:szCs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D01E40"/>
    <w:rsid w:val="029F1E26"/>
    <w:rsid w:val="06C82D1D"/>
    <w:rsid w:val="06F36ACB"/>
    <w:rsid w:val="07F00187"/>
    <w:rsid w:val="0D6C7EFE"/>
    <w:rsid w:val="0D775E55"/>
    <w:rsid w:val="0ECE18DA"/>
    <w:rsid w:val="124D7396"/>
    <w:rsid w:val="14FB2E72"/>
    <w:rsid w:val="16A85914"/>
    <w:rsid w:val="19A57AA1"/>
    <w:rsid w:val="1B505BF5"/>
    <w:rsid w:val="22E74F73"/>
    <w:rsid w:val="24C7042C"/>
    <w:rsid w:val="29593E27"/>
    <w:rsid w:val="29C9048F"/>
    <w:rsid w:val="2B3D5D46"/>
    <w:rsid w:val="2C072666"/>
    <w:rsid w:val="2CEB696E"/>
    <w:rsid w:val="2EF81E72"/>
    <w:rsid w:val="311B77B4"/>
    <w:rsid w:val="31872DE1"/>
    <w:rsid w:val="348F6DE9"/>
    <w:rsid w:val="3CFD455C"/>
    <w:rsid w:val="41C77552"/>
    <w:rsid w:val="4E81091A"/>
    <w:rsid w:val="569C6892"/>
    <w:rsid w:val="5CF81B9C"/>
    <w:rsid w:val="62122CC1"/>
    <w:rsid w:val="670D7347"/>
    <w:rsid w:val="6C0A2CF9"/>
    <w:rsid w:val="6F285225"/>
    <w:rsid w:val="71660DC7"/>
    <w:rsid w:val="71A1056E"/>
    <w:rsid w:val="75C546C0"/>
    <w:rsid w:val="767675B0"/>
    <w:rsid w:val="78D623CE"/>
    <w:rsid w:val="798C03BE"/>
    <w:rsid w:val="7CC35C7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Strong"/>
    <w:basedOn w:val="6"/>
    <w:qFormat/>
    <w:uiPriority w:val="0"/>
    <w:rPr>
      <w:b/>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宋体" w:hAnsi="宋体" w:eastAsia="宋体" w:cs="宋体"/>
      <w:sz w:val="18"/>
      <w:szCs w:val="18"/>
      <w:lang w:val="en-US" w:eastAsia="en-US" w:bidi="ar-SA"/>
    </w:rPr>
  </w:style>
  <w:style w:type="paragraph" w:customStyle="1" w:styleId="10">
    <w:name w:val="章标题"/>
    <w:basedOn w:val="11"/>
    <w:next w:val="13"/>
    <w:qFormat/>
    <w:uiPriority w:val="0"/>
    <w:pPr>
      <w:spacing w:before="312" w:beforeLines="100" w:after="312" w:afterLines="100"/>
    </w:pPr>
    <w:rPr>
      <w:rFonts w:ascii="Times New Roman"/>
    </w:rPr>
  </w:style>
  <w:style w:type="paragraph" w:customStyle="1" w:styleId="11">
    <w:name w:val="1章标题"/>
    <w:next w:val="12"/>
    <w:qFormat/>
    <w:uiPriority w:val="99"/>
    <w:pPr>
      <w:numPr>
        <w:ilvl w:val="1"/>
        <w:numId w:val="1"/>
      </w:numPr>
      <w:spacing w:beforeLines="50" w:afterLines="50"/>
      <w:jc w:val="both"/>
      <w:outlineLvl w:val="0"/>
    </w:pPr>
    <w:rPr>
      <w:rFonts w:ascii="黑体" w:hAnsi="Times New Roman" w:eastAsia="黑体" w:cs="黑体"/>
      <w:sz w:val="21"/>
      <w:szCs w:val="21"/>
      <w:lang w:val="en-US" w:eastAsia="zh-CN" w:bidi="ar-SA"/>
    </w:rPr>
  </w:style>
  <w:style w:type="paragraph" w:customStyle="1" w:styleId="12">
    <w:name w:val="标准文件_段"/>
    <w:qFormat/>
    <w:uiPriority w:val="99"/>
    <w:pPr>
      <w:widowControl w:val="0"/>
      <w:ind w:firstLine="198" w:firstLineChars="200"/>
      <w:jc w:val="both"/>
    </w:pPr>
    <w:rPr>
      <w:rFonts w:ascii="宋体" w:hAnsi="宋体" w:eastAsia="宋体" w:cs="宋体"/>
      <w:kern w:val="2"/>
      <w:sz w:val="21"/>
      <w:szCs w:val="21"/>
      <w:lang w:val="en-US" w:eastAsia="zh-CN" w:bidi="ar-SA"/>
    </w:rPr>
  </w:style>
  <w:style w:type="paragraph" w:customStyle="1" w:styleId="13">
    <w:name w:val="段"/>
    <w:basedOn w:val="1"/>
    <w:qFormat/>
    <w:uiPriority w:val="0"/>
    <w:pPr>
      <w:spacing w:line="240" w:lineRule="auto"/>
      <w:ind w:firstLine="420" w:firstLineChars="200"/>
    </w:pPr>
    <w:rPr>
      <w:rFonts w:ascii="Times New Roman" w:hAnsi="Times New Roman"/>
    </w:rPr>
  </w:style>
  <w:style w:type="paragraph" w:customStyle="1" w:styleId="14">
    <w:name w:val="一级条标题"/>
    <w:next w:val="13"/>
    <w:qFormat/>
    <w:uiPriority w:val="0"/>
    <w:pPr>
      <w:numPr>
        <w:ilvl w:val="1"/>
        <w:numId w:val="2"/>
      </w:numPr>
      <w:spacing w:before="156" w:beforeLines="50" w:after="156" w:afterLines="50"/>
      <w:outlineLvl w:val="2"/>
    </w:pPr>
    <w:rPr>
      <w:rFonts w:ascii="黑体" w:hAnsi="Times New Roman" w:eastAsia="黑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3006</Words>
  <Characters>3644</Characters>
  <TotalTime>59</TotalTime>
  <ScaleCrop>false</ScaleCrop>
  <LinksUpToDate>false</LinksUpToDate>
  <CharactersWithSpaces>3994</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2025-12-14T12:44:00Z</dcterms:created>
  <dc:creator>Lenovo</dc:creator>
  <cp:lastModifiedBy>张秋生</cp:lastModifiedBy>
  <dcterms:modified xsi:type="dcterms:W3CDTF">2026-05-11T07:49:05Z</dcterms:modified>
  <dc:title>标准名称</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2025-12-14T15:29:32Z</vt:filetime>
  </property>
  <property fmtid="{D5CDD505-2E9C-101B-9397-08002B2CF9AE}" pid="4" name="KSOTemplateDocerSaveRecord">
    <vt:lpwstr>eyJoZGlkIjoiYzE5ZmNjNzlmY2IwMjMwYzQ1Mjk5M2JmMjhiYjc2MWUiLCJ1c2VySWQiOiI1NTM2NzYzMTUifQ==</vt:lpwstr>
  </property>
  <property fmtid="{D5CDD505-2E9C-101B-9397-08002B2CF9AE}" pid="5" name="KSOProductBuildVer">
    <vt:lpwstr>2052-12.1.0.25865</vt:lpwstr>
  </property>
  <property fmtid="{D5CDD505-2E9C-101B-9397-08002B2CF9AE}" pid="6" name="ICV">
    <vt:lpwstr>1336131541864F6B8CD6D7290D49F951_12</vt:lpwstr>
  </property>
</Properties>
</file>